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7标段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0265F721">
      <w:pPr>
        <w:pStyle w:val="26"/>
        <w:tabs>
          <w:tab w:val="right" w:leader="dot" w:pos="9354"/>
          <w:tab w:val="clear" w:pos="9344"/>
        </w:tabs>
      </w:pPr>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highlight w:val="none"/>
        </w:rPr>
        <w:instrText xml:space="preserve"> HYPERLINK \l _Toc10969 </w:instrText>
      </w:r>
      <w:r>
        <w:rPr>
          <w:rFonts w:eastAsia="仿宋"/>
          <w:highlight w:val="none"/>
        </w:rPr>
        <w:fldChar w:fldCharType="separate"/>
      </w:r>
      <w:r>
        <w:rPr>
          <w:rFonts w:hint="eastAsia" w:ascii="黑体"/>
          <w:szCs w:val="32"/>
          <w:highlight w:val="none"/>
        </w:rPr>
        <w:t>第一章  招标公告</w:t>
      </w:r>
      <w:r>
        <w:tab/>
      </w:r>
      <w:r>
        <w:fldChar w:fldCharType="begin"/>
      </w:r>
      <w:r>
        <w:instrText xml:space="preserve"> PAGEREF _Toc10969 \h </w:instrText>
      </w:r>
      <w:r>
        <w:fldChar w:fldCharType="separate"/>
      </w:r>
      <w:r>
        <w:t>1</w:t>
      </w:r>
      <w:r>
        <w:fldChar w:fldCharType="end"/>
      </w:r>
      <w:r>
        <w:rPr>
          <w:rFonts w:eastAsia="仿宋"/>
          <w:color w:val="auto"/>
          <w:highlight w:val="none"/>
        </w:rPr>
        <w:fldChar w:fldCharType="end"/>
      </w:r>
    </w:p>
    <w:p w14:paraId="3A56971F">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_Toc4826 </w:instrText>
      </w:r>
      <w:r>
        <w:rPr>
          <w:rFonts w:eastAsia="仿宋"/>
          <w:highlight w:val="none"/>
        </w:rPr>
        <w:fldChar w:fldCharType="separate"/>
      </w:r>
      <w:r>
        <w:rPr>
          <w:rFonts w:hint="eastAsia" w:ascii="黑体"/>
          <w:szCs w:val="32"/>
          <w:highlight w:val="none"/>
        </w:rPr>
        <w:t>第二章  投标人须知</w:t>
      </w:r>
      <w:r>
        <w:tab/>
      </w:r>
      <w:r>
        <w:fldChar w:fldCharType="begin"/>
      </w:r>
      <w:r>
        <w:instrText xml:space="preserve"> PAGEREF _Toc4826 \h </w:instrText>
      </w:r>
      <w:r>
        <w:fldChar w:fldCharType="separate"/>
      </w:r>
      <w:r>
        <w:t>7</w:t>
      </w:r>
      <w:r>
        <w:fldChar w:fldCharType="end"/>
      </w:r>
      <w:r>
        <w:rPr>
          <w:rFonts w:eastAsia="仿宋"/>
          <w:color w:val="auto"/>
          <w:highlight w:val="none"/>
        </w:rPr>
        <w:fldChar w:fldCharType="end"/>
      </w:r>
    </w:p>
    <w:p w14:paraId="473E873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_Toc5980 </w:instrText>
      </w:r>
      <w:r>
        <w:rPr>
          <w:rFonts w:eastAsia="仿宋"/>
          <w:highlight w:val="none"/>
        </w:rPr>
        <w:fldChar w:fldCharType="separate"/>
      </w:r>
      <w:r>
        <w:rPr>
          <w:rFonts w:hint="eastAsia" w:ascii="宋体" w:hAnsi="宋体" w:eastAsia="宋体" w:cs="宋体"/>
          <w:szCs w:val="36"/>
          <w:highlight w:val="none"/>
        </w:rPr>
        <w:t>一、总  则</w:t>
      </w:r>
      <w:r>
        <w:tab/>
      </w:r>
      <w:r>
        <w:fldChar w:fldCharType="begin"/>
      </w:r>
      <w:r>
        <w:instrText xml:space="preserve"> PAGEREF _Toc5980 \h </w:instrText>
      </w:r>
      <w:r>
        <w:fldChar w:fldCharType="separate"/>
      </w:r>
      <w:r>
        <w:t>12</w:t>
      </w:r>
      <w:r>
        <w:fldChar w:fldCharType="end"/>
      </w:r>
      <w:r>
        <w:rPr>
          <w:rFonts w:eastAsia="仿宋"/>
          <w:color w:val="auto"/>
          <w:highlight w:val="none"/>
        </w:rPr>
        <w:fldChar w:fldCharType="end"/>
      </w:r>
    </w:p>
    <w:p w14:paraId="0627377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_Toc21042 </w:instrText>
      </w:r>
      <w:r>
        <w:rPr>
          <w:rFonts w:eastAsia="仿宋"/>
          <w:highlight w:val="none"/>
        </w:rPr>
        <w:fldChar w:fldCharType="separate"/>
      </w:r>
      <w:r>
        <w:rPr>
          <w:rFonts w:hint="eastAsia" w:ascii="宋体" w:hAnsi="宋体" w:eastAsia="宋体"/>
          <w:szCs w:val="24"/>
        </w:rPr>
        <w:t xml:space="preserve">1. </w:t>
      </w:r>
      <w:r>
        <w:rPr>
          <w:rFonts w:hint="eastAsia" w:ascii="宋体" w:hAnsi="宋体" w:eastAsia="宋体"/>
          <w:szCs w:val="24"/>
          <w:highlight w:val="none"/>
        </w:rPr>
        <w:t>说明与定义</w:t>
      </w:r>
      <w:r>
        <w:tab/>
      </w:r>
      <w:r>
        <w:fldChar w:fldCharType="begin"/>
      </w:r>
      <w:r>
        <w:instrText xml:space="preserve"> PAGEREF _Toc21042 \h </w:instrText>
      </w:r>
      <w:r>
        <w:fldChar w:fldCharType="separate"/>
      </w:r>
      <w:r>
        <w:t>12</w:t>
      </w:r>
      <w:r>
        <w:fldChar w:fldCharType="end"/>
      </w:r>
      <w:r>
        <w:rPr>
          <w:rFonts w:eastAsia="仿宋"/>
          <w:color w:val="auto"/>
          <w:highlight w:val="none"/>
        </w:rPr>
        <w:fldChar w:fldCharType="end"/>
      </w:r>
    </w:p>
    <w:p w14:paraId="6C3CC109">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_Toc3789 </w:instrText>
      </w:r>
      <w:r>
        <w:rPr>
          <w:rFonts w:eastAsia="仿宋"/>
          <w:highlight w:val="none"/>
        </w:rPr>
        <w:fldChar w:fldCharType="separate"/>
      </w:r>
      <w:r>
        <w:rPr>
          <w:rFonts w:hint="eastAsia" w:ascii="宋体" w:hAnsi="宋体" w:eastAsia="宋体"/>
          <w:szCs w:val="24"/>
        </w:rPr>
        <w:t xml:space="preserve">2. </w:t>
      </w:r>
      <w:r>
        <w:rPr>
          <w:rFonts w:hint="eastAsia" w:ascii="宋体" w:hAnsi="宋体" w:eastAsia="宋体"/>
          <w:szCs w:val="24"/>
          <w:highlight w:val="none"/>
        </w:rPr>
        <w:t>资金来源</w:t>
      </w:r>
      <w:r>
        <w:tab/>
      </w:r>
      <w:r>
        <w:fldChar w:fldCharType="begin"/>
      </w:r>
      <w:r>
        <w:instrText xml:space="preserve"> PAGEREF _Toc3789 \h </w:instrText>
      </w:r>
      <w:r>
        <w:fldChar w:fldCharType="separate"/>
      </w:r>
      <w:r>
        <w:t>12</w:t>
      </w:r>
      <w:r>
        <w:fldChar w:fldCharType="end"/>
      </w:r>
      <w:r>
        <w:rPr>
          <w:rFonts w:eastAsia="仿宋"/>
          <w:color w:val="auto"/>
          <w:highlight w:val="none"/>
        </w:rPr>
        <w:fldChar w:fldCharType="end"/>
      </w:r>
    </w:p>
    <w:p w14:paraId="2B114DB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_Toc32535 </w:instrText>
      </w:r>
      <w:r>
        <w:rPr>
          <w:rFonts w:eastAsia="仿宋"/>
          <w:highlight w:val="none"/>
        </w:rPr>
        <w:fldChar w:fldCharType="separate"/>
      </w:r>
      <w:r>
        <w:rPr>
          <w:rFonts w:hint="eastAsia" w:ascii="宋体" w:hAnsi="宋体" w:eastAsia="宋体"/>
          <w:szCs w:val="24"/>
        </w:rPr>
        <w:t xml:space="preserve">3. </w:t>
      </w:r>
      <w:r>
        <w:rPr>
          <w:rFonts w:hint="eastAsia" w:ascii="宋体" w:hAnsi="宋体" w:eastAsia="宋体"/>
          <w:szCs w:val="24"/>
          <w:highlight w:val="none"/>
        </w:rPr>
        <w:t>招标内容、合同履行期限（实质性要求）</w:t>
      </w:r>
      <w:r>
        <w:tab/>
      </w:r>
      <w:r>
        <w:fldChar w:fldCharType="begin"/>
      </w:r>
      <w:r>
        <w:instrText xml:space="preserve"> PAGEREF _Toc32535 \h </w:instrText>
      </w:r>
      <w:r>
        <w:fldChar w:fldCharType="separate"/>
      </w:r>
      <w:r>
        <w:t>12</w:t>
      </w:r>
      <w:r>
        <w:fldChar w:fldCharType="end"/>
      </w:r>
      <w:r>
        <w:rPr>
          <w:rFonts w:eastAsia="仿宋"/>
          <w:color w:val="auto"/>
          <w:highlight w:val="none"/>
        </w:rPr>
        <w:fldChar w:fldCharType="end"/>
      </w:r>
    </w:p>
    <w:p w14:paraId="337A347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_Toc13209 </w:instrText>
      </w:r>
      <w:r>
        <w:rPr>
          <w:rFonts w:eastAsia="仿宋"/>
          <w:highlight w:val="none"/>
        </w:rPr>
        <w:fldChar w:fldCharType="separate"/>
      </w:r>
      <w:r>
        <w:rPr>
          <w:rFonts w:hint="eastAsia" w:ascii="宋体" w:hAnsi="宋体" w:eastAsia="宋体"/>
          <w:szCs w:val="24"/>
        </w:rPr>
        <w:t xml:space="preserve">4. </w:t>
      </w:r>
      <w:r>
        <w:rPr>
          <w:rFonts w:hint="eastAsia" w:ascii="宋体" w:hAnsi="宋体" w:eastAsia="宋体"/>
          <w:szCs w:val="24"/>
          <w:highlight w:val="none"/>
        </w:rPr>
        <w:t>合格投标人和产品的条件（实质性要求）</w:t>
      </w:r>
      <w:r>
        <w:tab/>
      </w:r>
      <w:r>
        <w:fldChar w:fldCharType="begin"/>
      </w:r>
      <w:r>
        <w:instrText xml:space="preserve"> PAGEREF _Toc13209 \h </w:instrText>
      </w:r>
      <w:r>
        <w:fldChar w:fldCharType="separate"/>
      </w:r>
      <w:r>
        <w:t>12</w:t>
      </w:r>
      <w:r>
        <w:fldChar w:fldCharType="end"/>
      </w:r>
      <w:r>
        <w:rPr>
          <w:rFonts w:eastAsia="仿宋"/>
          <w:color w:val="auto"/>
          <w:highlight w:val="none"/>
        </w:rPr>
        <w:fldChar w:fldCharType="end"/>
      </w:r>
    </w:p>
    <w:p w14:paraId="51A373E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_Toc24287 </w:instrText>
      </w:r>
      <w:r>
        <w:rPr>
          <w:rFonts w:eastAsia="仿宋"/>
          <w:highlight w:val="none"/>
        </w:rPr>
        <w:fldChar w:fldCharType="separate"/>
      </w:r>
      <w:r>
        <w:rPr>
          <w:rFonts w:hint="eastAsia" w:ascii="宋体" w:hAnsi="宋体" w:eastAsia="宋体"/>
          <w:szCs w:val="24"/>
        </w:rPr>
        <w:t xml:space="preserve">5. </w:t>
      </w:r>
      <w:r>
        <w:rPr>
          <w:rFonts w:hint="eastAsia" w:ascii="宋体" w:hAnsi="宋体" w:eastAsia="宋体"/>
          <w:szCs w:val="24"/>
          <w:highlight w:val="none"/>
        </w:rPr>
        <w:t>投标费用</w:t>
      </w:r>
      <w:r>
        <w:tab/>
      </w:r>
      <w:r>
        <w:fldChar w:fldCharType="begin"/>
      </w:r>
      <w:r>
        <w:instrText xml:space="preserve"> PAGEREF _Toc24287 \h </w:instrText>
      </w:r>
      <w:r>
        <w:fldChar w:fldCharType="separate"/>
      </w:r>
      <w:r>
        <w:t>12</w:t>
      </w:r>
      <w:r>
        <w:fldChar w:fldCharType="end"/>
      </w:r>
      <w:r>
        <w:rPr>
          <w:rFonts w:eastAsia="仿宋"/>
          <w:color w:val="auto"/>
          <w:highlight w:val="none"/>
        </w:rPr>
        <w:fldChar w:fldCharType="end"/>
      </w:r>
    </w:p>
    <w:p w14:paraId="2BE9885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_Toc14298 </w:instrText>
      </w:r>
      <w:r>
        <w:rPr>
          <w:rFonts w:eastAsia="仿宋"/>
          <w:highlight w:val="none"/>
        </w:rPr>
        <w:fldChar w:fldCharType="separate"/>
      </w:r>
      <w:r>
        <w:rPr>
          <w:rFonts w:hint="eastAsia" w:ascii="宋体" w:hAnsi="宋体" w:eastAsia="宋体"/>
          <w:szCs w:val="24"/>
        </w:rPr>
        <w:t xml:space="preserve">6. </w:t>
      </w:r>
      <w:r>
        <w:rPr>
          <w:rFonts w:hint="eastAsia" w:ascii="宋体" w:hAnsi="宋体" w:eastAsia="宋体"/>
          <w:szCs w:val="24"/>
          <w:highlight w:val="none"/>
        </w:rPr>
        <w:t>质疑</w:t>
      </w:r>
      <w:r>
        <w:tab/>
      </w:r>
      <w:r>
        <w:fldChar w:fldCharType="begin"/>
      </w:r>
      <w:r>
        <w:instrText xml:space="preserve"> PAGEREF _Toc14298 \h </w:instrText>
      </w:r>
      <w:r>
        <w:fldChar w:fldCharType="separate"/>
      </w:r>
      <w:r>
        <w:t>12</w:t>
      </w:r>
      <w:r>
        <w:fldChar w:fldCharType="end"/>
      </w:r>
      <w:r>
        <w:rPr>
          <w:rFonts w:eastAsia="仿宋"/>
          <w:color w:val="auto"/>
          <w:highlight w:val="none"/>
        </w:rPr>
        <w:fldChar w:fldCharType="end"/>
      </w:r>
    </w:p>
    <w:p w14:paraId="5E758A5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_Toc15602 </w:instrText>
      </w:r>
      <w:r>
        <w:rPr>
          <w:rFonts w:eastAsia="仿宋"/>
          <w:highlight w:val="none"/>
        </w:rPr>
        <w:fldChar w:fldCharType="separate"/>
      </w:r>
      <w:r>
        <w:rPr>
          <w:rFonts w:hint="eastAsia" w:ascii="宋体" w:hAnsi="宋体" w:eastAsia="宋体"/>
          <w:szCs w:val="24"/>
        </w:rPr>
        <w:t xml:space="preserve">7. </w:t>
      </w:r>
      <w:r>
        <w:rPr>
          <w:rFonts w:hint="eastAsia" w:ascii="宋体" w:hAnsi="宋体" w:eastAsia="宋体"/>
          <w:szCs w:val="24"/>
          <w:highlight w:val="none"/>
        </w:rPr>
        <w:t>投诉</w:t>
      </w:r>
      <w:r>
        <w:tab/>
      </w:r>
      <w:r>
        <w:fldChar w:fldCharType="begin"/>
      </w:r>
      <w:r>
        <w:instrText xml:space="preserve"> PAGEREF _Toc15602 \h </w:instrText>
      </w:r>
      <w:r>
        <w:fldChar w:fldCharType="separate"/>
      </w:r>
      <w:r>
        <w:t>13</w:t>
      </w:r>
      <w:r>
        <w:fldChar w:fldCharType="end"/>
      </w:r>
      <w:r>
        <w:rPr>
          <w:rFonts w:eastAsia="仿宋"/>
          <w:color w:val="auto"/>
          <w:highlight w:val="none"/>
        </w:rPr>
        <w:fldChar w:fldCharType="end"/>
      </w:r>
    </w:p>
    <w:p w14:paraId="28AC1B33">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_Toc23618 </w:instrText>
      </w:r>
      <w:r>
        <w:rPr>
          <w:rFonts w:eastAsia="仿宋"/>
          <w:highlight w:val="none"/>
        </w:rPr>
        <w:fldChar w:fldCharType="separate"/>
      </w:r>
      <w:r>
        <w:rPr>
          <w:rFonts w:hint="eastAsia" w:ascii="宋体" w:hAnsi="宋体" w:eastAsia="宋体" w:cs="宋体"/>
          <w:szCs w:val="36"/>
          <w:highlight w:val="none"/>
        </w:rPr>
        <w:t>二、招标文件</w:t>
      </w:r>
      <w:r>
        <w:tab/>
      </w:r>
      <w:r>
        <w:fldChar w:fldCharType="begin"/>
      </w:r>
      <w:r>
        <w:instrText xml:space="preserve"> PAGEREF _Toc23618 \h </w:instrText>
      </w:r>
      <w:r>
        <w:fldChar w:fldCharType="separate"/>
      </w:r>
      <w:r>
        <w:t>13</w:t>
      </w:r>
      <w:r>
        <w:fldChar w:fldCharType="end"/>
      </w:r>
      <w:r>
        <w:rPr>
          <w:rFonts w:eastAsia="仿宋"/>
          <w:color w:val="auto"/>
          <w:highlight w:val="none"/>
        </w:rPr>
        <w:fldChar w:fldCharType="end"/>
      </w:r>
    </w:p>
    <w:p w14:paraId="276AF5D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_Toc5752 </w:instrText>
      </w:r>
      <w:r>
        <w:rPr>
          <w:rFonts w:eastAsia="仿宋"/>
          <w:highlight w:val="none"/>
        </w:rPr>
        <w:fldChar w:fldCharType="separate"/>
      </w:r>
      <w:r>
        <w:rPr>
          <w:rFonts w:hint="eastAsia" w:ascii="宋体" w:hAnsi="宋体" w:eastAsia="宋体"/>
          <w:szCs w:val="24"/>
        </w:rPr>
        <w:t xml:space="preserve">8. </w:t>
      </w:r>
      <w:r>
        <w:rPr>
          <w:rFonts w:hint="eastAsia" w:ascii="宋体" w:hAnsi="宋体" w:eastAsia="宋体"/>
          <w:szCs w:val="24"/>
          <w:highlight w:val="none"/>
        </w:rPr>
        <w:t>招标文件构成</w:t>
      </w:r>
      <w:r>
        <w:tab/>
      </w:r>
      <w:r>
        <w:fldChar w:fldCharType="begin"/>
      </w:r>
      <w:r>
        <w:instrText xml:space="preserve"> PAGEREF _Toc5752 \h </w:instrText>
      </w:r>
      <w:r>
        <w:fldChar w:fldCharType="separate"/>
      </w:r>
      <w:r>
        <w:t>13</w:t>
      </w:r>
      <w:r>
        <w:fldChar w:fldCharType="end"/>
      </w:r>
      <w:r>
        <w:rPr>
          <w:rFonts w:eastAsia="仿宋"/>
          <w:color w:val="auto"/>
          <w:highlight w:val="none"/>
        </w:rPr>
        <w:fldChar w:fldCharType="end"/>
      </w:r>
    </w:p>
    <w:p w14:paraId="415C782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_Toc29584 </w:instrText>
      </w:r>
      <w:r>
        <w:rPr>
          <w:rFonts w:eastAsia="仿宋"/>
          <w:highlight w:val="none"/>
        </w:rPr>
        <w:fldChar w:fldCharType="separate"/>
      </w:r>
      <w:r>
        <w:rPr>
          <w:rFonts w:hint="eastAsia" w:ascii="宋体" w:hAnsi="宋体" w:eastAsia="宋体"/>
          <w:szCs w:val="24"/>
        </w:rPr>
        <w:t xml:space="preserve">9. </w:t>
      </w:r>
      <w:r>
        <w:rPr>
          <w:rFonts w:hint="eastAsia" w:ascii="宋体" w:hAnsi="宋体" w:eastAsia="宋体"/>
          <w:szCs w:val="24"/>
          <w:highlight w:val="none"/>
        </w:rPr>
        <w:t>招标文件的澄清</w:t>
      </w:r>
      <w:r>
        <w:tab/>
      </w:r>
      <w:r>
        <w:fldChar w:fldCharType="begin"/>
      </w:r>
      <w:r>
        <w:instrText xml:space="preserve"> PAGEREF _Toc29584 \h </w:instrText>
      </w:r>
      <w:r>
        <w:fldChar w:fldCharType="separate"/>
      </w:r>
      <w:r>
        <w:t>13</w:t>
      </w:r>
      <w:r>
        <w:fldChar w:fldCharType="end"/>
      </w:r>
      <w:r>
        <w:rPr>
          <w:rFonts w:eastAsia="仿宋"/>
          <w:color w:val="auto"/>
          <w:highlight w:val="none"/>
        </w:rPr>
        <w:fldChar w:fldCharType="end"/>
      </w:r>
    </w:p>
    <w:p w14:paraId="5E885FC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_Toc31882 </w:instrText>
      </w:r>
      <w:r>
        <w:rPr>
          <w:rFonts w:eastAsia="仿宋"/>
          <w:highlight w:val="none"/>
        </w:rPr>
        <w:fldChar w:fldCharType="separate"/>
      </w:r>
      <w:r>
        <w:rPr>
          <w:rFonts w:hint="eastAsia" w:ascii="宋体" w:hAnsi="宋体" w:eastAsia="宋体"/>
          <w:szCs w:val="24"/>
        </w:rPr>
        <w:t xml:space="preserve">10. </w:t>
      </w:r>
      <w:r>
        <w:rPr>
          <w:rFonts w:hint="eastAsia" w:ascii="宋体" w:hAnsi="宋体" w:eastAsia="宋体"/>
          <w:szCs w:val="24"/>
          <w:highlight w:val="none"/>
        </w:rPr>
        <w:t>招标文件的修改</w:t>
      </w:r>
      <w:r>
        <w:tab/>
      </w:r>
      <w:r>
        <w:fldChar w:fldCharType="begin"/>
      </w:r>
      <w:r>
        <w:instrText xml:space="preserve"> PAGEREF _Toc31882 \h </w:instrText>
      </w:r>
      <w:r>
        <w:fldChar w:fldCharType="separate"/>
      </w:r>
      <w:r>
        <w:t>13</w:t>
      </w:r>
      <w:r>
        <w:fldChar w:fldCharType="end"/>
      </w:r>
      <w:r>
        <w:rPr>
          <w:rFonts w:eastAsia="仿宋"/>
          <w:color w:val="auto"/>
          <w:highlight w:val="none"/>
        </w:rPr>
        <w:fldChar w:fldCharType="end"/>
      </w:r>
    </w:p>
    <w:p w14:paraId="0D732425">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_Toc30343 </w:instrText>
      </w:r>
      <w:r>
        <w:rPr>
          <w:rFonts w:eastAsia="仿宋"/>
          <w:highlight w:val="none"/>
        </w:rPr>
        <w:fldChar w:fldCharType="separate"/>
      </w:r>
      <w:r>
        <w:rPr>
          <w:rFonts w:hint="eastAsia" w:ascii="宋体" w:hAnsi="宋体" w:eastAsia="宋体" w:cs="宋体"/>
          <w:szCs w:val="36"/>
          <w:highlight w:val="none"/>
        </w:rPr>
        <w:t>三、投标文件的编制</w:t>
      </w:r>
      <w:r>
        <w:tab/>
      </w:r>
      <w:r>
        <w:fldChar w:fldCharType="begin"/>
      </w:r>
      <w:r>
        <w:instrText xml:space="preserve"> PAGEREF _Toc30343 \h </w:instrText>
      </w:r>
      <w:r>
        <w:fldChar w:fldCharType="separate"/>
      </w:r>
      <w:r>
        <w:t>14</w:t>
      </w:r>
      <w:r>
        <w:fldChar w:fldCharType="end"/>
      </w:r>
      <w:r>
        <w:rPr>
          <w:rFonts w:eastAsia="仿宋"/>
          <w:color w:val="auto"/>
          <w:highlight w:val="none"/>
        </w:rPr>
        <w:fldChar w:fldCharType="end"/>
      </w:r>
    </w:p>
    <w:p w14:paraId="0A464C9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_Toc10431 </w:instrText>
      </w:r>
      <w:r>
        <w:rPr>
          <w:rFonts w:eastAsia="仿宋"/>
          <w:highlight w:val="none"/>
        </w:rPr>
        <w:fldChar w:fldCharType="separate"/>
      </w:r>
      <w:r>
        <w:rPr>
          <w:rFonts w:hint="eastAsia" w:ascii="宋体" w:hAnsi="宋体" w:eastAsia="宋体"/>
          <w:szCs w:val="24"/>
        </w:rPr>
        <w:t xml:space="preserve">11. </w:t>
      </w:r>
      <w:r>
        <w:rPr>
          <w:rFonts w:hint="eastAsia" w:ascii="宋体" w:hAnsi="宋体" w:eastAsia="宋体"/>
          <w:szCs w:val="24"/>
          <w:highlight w:val="none"/>
        </w:rPr>
        <w:t>投标文件编写注意事项（实质性要求）</w:t>
      </w:r>
      <w:r>
        <w:tab/>
      </w:r>
      <w:r>
        <w:fldChar w:fldCharType="begin"/>
      </w:r>
      <w:r>
        <w:instrText xml:space="preserve"> PAGEREF _Toc10431 \h </w:instrText>
      </w:r>
      <w:r>
        <w:fldChar w:fldCharType="separate"/>
      </w:r>
      <w:r>
        <w:t>14</w:t>
      </w:r>
      <w:r>
        <w:fldChar w:fldCharType="end"/>
      </w:r>
      <w:r>
        <w:rPr>
          <w:rFonts w:eastAsia="仿宋"/>
          <w:color w:val="auto"/>
          <w:highlight w:val="none"/>
        </w:rPr>
        <w:fldChar w:fldCharType="end"/>
      </w:r>
    </w:p>
    <w:p w14:paraId="304D450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_Toc21692 </w:instrText>
      </w:r>
      <w:r>
        <w:rPr>
          <w:rFonts w:eastAsia="仿宋"/>
          <w:highlight w:val="none"/>
        </w:rPr>
        <w:fldChar w:fldCharType="separate"/>
      </w:r>
      <w:r>
        <w:rPr>
          <w:rFonts w:hint="eastAsia" w:ascii="宋体" w:hAnsi="宋体" w:eastAsia="宋体"/>
          <w:szCs w:val="24"/>
        </w:rPr>
        <w:t xml:space="preserve">12. </w:t>
      </w:r>
      <w:r>
        <w:rPr>
          <w:rFonts w:hint="eastAsia" w:ascii="宋体" w:hAnsi="宋体" w:eastAsia="宋体"/>
          <w:szCs w:val="24"/>
          <w:highlight w:val="none"/>
        </w:rPr>
        <w:t>投标文件构成（实质性要求）</w:t>
      </w:r>
      <w:r>
        <w:tab/>
      </w:r>
      <w:r>
        <w:fldChar w:fldCharType="begin"/>
      </w:r>
      <w:r>
        <w:instrText xml:space="preserve"> PAGEREF _Toc21692 \h </w:instrText>
      </w:r>
      <w:r>
        <w:fldChar w:fldCharType="separate"/>
      </w:r>
      <w:r>
        <w:t>14</w:t>
      </w:r>
      <w:r>
        <w:fldChar w:fldCharType="end"/>
      </w:r>
      <w:r>
        <w:rPr>
          <w:rFonts w:eastAsia="仿宋"/>
          <w:color w:val="auto"/>
          <w:highlight w:val="none"/>
        </w:rPr>
        <w:fldChar w:fldCharType="end"/>
      </w:r>
    </w:p>
    <w:p w14:paraId="732E57A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_Toc24396 </w:instrText>
      </w:r>
      <w:r>
        <w:rPr>
          <w:rFonts w:eastAsia="仿宋"/>
          <w:highlight w:val="none"/>
        </w:rPr>
        <w:fldChar w:fldCharType="separate"/>
      </w:r>
      <w:r>
        <w:rPr>
          <w:rFonts w:hint="eastAsia" w:ascii="宋体" w:hAnsi="宋体" w:eastAsia="宋体"/>
          <w:szCs w:val="24"/>
        </w:rPr>
        <w:t xml:space="preserve">13. </w:t>
      </w:r>
      <w:r>
        <w:rPr>
          <w:rFonts w:hint="eastAsia" w:ascii="宋体" w:hAnsi="宋体" w:eastAsia="宋体"/>
          <w:szCs w:val="24"/>
          <w:highlight w:val="none"/>
        </w:rPr>
        <w:t>投标文件的格式要求</w:t>
      </w:r>
      <w:r>
        <w:tab/>
      </w:r>
      <w:r>
        <w:fldChar w:fldCharType="begin"/>
      </w:r>
      <w:r>
        <w:instrText xml:space="preserve"> PAGEREF _Toc24396 \h </w:instrText>
      </w:r>
      <w:r>
        <w:fldChar w:fldCharType="separate"/>
      </w:r>
      <w:r>
        <w:t>15</w:t>
      </w:r>
      <w:r>
        <w:fldChar w:fldCharType="end"/>
      </w:r>
      <w:r>
        <w:rPr>
          <w:rFonts w:eastAsia="仿宋"/>
          <w:color w:val="auto"/>
          <w:highlight w:val="none"/>
        </w:rPr>
        <w:fldChar w:fldCharType="end"/>
      </w:r>
    </w:p>
    <w:p w14:paraId="4604A1C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_Toc20662 </w:instrText>
      </w:r>
      <w:r>
        <w:rPr>
          <w:rFonts w:eastAsia="仿宋"/>
          <w:highlight w:val="none"/>
        </w:rPr>
        <w:fldChar w:fldCharType="separate"/>
      </w:r>
      <w:r>
        <w:rPr>
          <w:rFonts w:hint="eastAsia" w:ascii="宋体" w:hAnsi="宋体" w:eastAsia="宋体"/>
          <w:szCs w:val="24"/>
        </w:rPr>
        <w:t xml:space="preserve">14. </w:t>
      </w:r>
      <w:r>
        <w:rPr>
          <w:rFonts w:hint="eastAsia" w:ascii="宋体" w:hAnsi="宋体" w:eastAsia="宋体"/>
          <w:szCs w:val="24"/>
          <w:highlight w:val="none"/>
        </w:rPr>
        <w:t>投标报价（实质性要求）</w:t>
      </w:r>
      <w:r>
        <w:tab/>
      </w:r>
      <w:r>
        <w:fldChar w:fldCharType="begin"/>
      </w:r>
      <w:r>
        <w:instrText xml:space="preserve"> PAGEREF _Toc20662 \h </w:instrText>
      </w:r>
      <w:r>
        <w:fldChar w:fldCharType="separate"/>
      </w:r>
      <w:r>
        <w:t>15</w:t>
      </w:r>
      <w:r>
        <w:fldChar w:fldCharType="end"/>
      </w:r>
      <w:r>
        <w:rPr>
          <w:rFonts w:eastAsia="仿宋"/>
          <w:color w:val="auto"/>
          <w:highlight w:val="none"/>
        </w:rPr>
        <w:fldChar w:fldCharType="end"/>
      </w:r>
    </w:p>
    <w:p w14:paraId="7FA6A20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_Toc21273 </w:instrText>
      </w:r>
      <w:r>
        <w:rPr>
          <w:rFonts w:eastAsia="仿宋"/>
          <w:highlight w:val="none"/>
        </w:rPr>
        <w:fldChar w:fldCharType="separate"/>
      </w:r>
      <w:r>
        <w:rPr>
          <w:rFonts w:hint="eastAsia" w:ascii="宋体" w:hAnsi="宋体" w:eastAsia="宋体"/>
          <w:szCs w:val="24"/>
        </w:rPr>
        <w:t xml:space="preserve">15. </w:t>
      </w:r>
      <w:r>
        <w:rPr>
          <w:rFonts w:hint="eastAsia" w:ascii="宋体" w:hAnsi="宋体" w:eastAsia="宋体"/>
          <w:szCs w:val="24"/>
          <w:highlight w:val="none"/>
        </w:rPr>
        <w:t>投标货币（实质性要求）</w:t>
      </w:r>
      <w:r>
        <w:tab/>
      </w:r>
      <w:r>
        <w:fldChar w:fldCharType="begin"/>
      </w:r>
      <w:r>
        <w:instrText xml:space="preserve"> PAGEREF _Toc21273 \h </w:instrText>
      </w:r>
      <w:r>
        <w:fldChar w:fldCharType="separate"/>
      </w:r>
      <w:r>
        <w:t>15</w:t>
      </w:r>
      <w:r>
        <w:fldChar w:fldCharType="end"/>
      </w:r>
      <w:r>
        <w:rPr>
          <w:rFonts w:eastAsia="仿宋"/>
          <w:color w:val="auto"/>
          <w:highlight w:val="none"/>
        </w:rPr>
        <w:fldChar w:fldCharType="end"/>
      </w:r>
    </w:p>
    <w:p w14:paraId="5203B7D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_Toc27193 </w:instrText>
      </w:r>
      <w:r>
        <w:rPr>
          <w:rFonts w:eastAsia="仿宋"/>
          <w:highlight w:val="none"/>
        </w:rPr>
        <w:fldChar w:fldCharType="separate"/>
      </w:r>
      <w:r>
        <w:rPr>
          <w:rFonts w:hint="eastAsia" w:ascii="宋体" w:hAnsi="宋体" w:eastAsia="宋体"/>
          <w:szCs w:val="24"/>
        </w:rPr>
        <w:t xml:space="preserve">16. </w:t>
      </w:r>
      <w:r>
        <w:rPr>
          <w:rFonts w:hint="eastAsia" w:ascii="宋体" w:hAnsi="宋体" w:eastAsia="宋体"/>
          <w:szCs w:val="24"/>
          <w:highlight w:val="none"/>
        </w:rPr>
        <w:t>投标有效期（实质性要求）</w:t>
      </w:r>
      <w:r>
        <w:tab/>
      </w:r>
      <w:r>
        <w:fldChar w:fldCharType="begin"/>
      </w:r>
      <w:r>
        <w:instrText xml:space="preserve"> PAGEREF _Toc27193 \h </w:instrText>
      </w:r>
      <w:r>
        <w:fldChar w:fldCharType="separate"/>
      </w:r>
      <w:r>
        <w:t>15</w:t>
      </w:r>
      <w:r>
        <w:fldChar w:fldCharType="end"/>
      </w:r>
      <w:r>
        <w:rPr>
          <w:rFonts w:eastAsia="仿宋"/>
          <w:color w:val="auto"/>
          <w:highlight w:val="none"/>
        </w:rPr>
        <w:fldChar w:fldCharType="end"/>
      </w:r>
    </w:p>
    <w:p w14:paraId="4A6CED1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_Toc9073 </w:instrText>
      </w:r>
      <w:r>
        <w:rPr>
          <w:rFonts w:eastAsia="仿宋"/>
          <w:highlight w:val="none"/>
        </w:rPr>
        <w:fldChar w:fldCharType="separate"/>
      </w:r>
      <w:r>
        <w:rPr>
          <w:rFonts w:hint="eastAsia" w:ascii="宋体" w:hAnsi="宋体" w:eastAsia="宋体"/>
          <w:szCs w:val="24"/>
        </w:rPr>
        <w:t xml:space="preserve">17. </w:t>
      </w:r>
      <w:r>
        <w:rPr>
          <w:rFonts w:hint="eastAsia" w:ascii="宋体" w:hAnsi="宋体" w:eastAsia="宋体"/>
          <w:szCs w:val="24"/>
          <w:highlight w:val="none"/>
        </w:rPr>
        <w:t>投标文件的书写要求（实质性要求）</w:t>
      </w:r>
      <w:r>
        <w:tab/>
      </w:r>
      <w:r>
        <w:fldChar w:fldCharType="begin"/>
      </w:r>
      <w:r>
        <w:instrText xml:space="preserve"> PAGEREF _Toc9073 \h </w:instrText>
      </w:r>
      <w:r>
        <w:fldChar w:fldCharType="separate"/>
      </w:r>
      <w:r>
        <w:t>16</w:t>
      </w:r>
      <w:r>
        <w:fldChar w:fldCharType="end"/>
      </w:r>
      <w:r>
        <w:rPr>
          <w:rFonts w:eastAsia="仿宋"/>
          <w:color w:val="auto"/>
          <w:highlight w:val="none"/>
        </w:rPr>
        <w:fldChar w:fldCharType="end"/>
      </w:r>
    </w:p>
    <w:p w14:paraId="21FEBBC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_Toc12207 </w:instrText>
      </w:r>
      <w:r>
        <w:rPr>
          <w:rFonts w:eastAsia="仿宋"/>
          <w:highlight w:val="none"/>
        </w:rPr>
        <w:fldChar w:fldCharType="separate"/>
      </w:r>
      <w:r>
        <w:rPr>
          <w:rFonts w:hint="eastAsia" w:ascii="宋体" w:hAnsi="宋体" w:eastAsia="宋体"/>
          <w:szCs w:val="24"/>
        </w:rPr>
        <w:t xml:space="preserve">18. </w:t>
      </w:r>
      <w:r>
        <w:rPr>
          <w:rFonts w:hint="eastAsia" w:ascii="宋体" w:hAnsi="宋体" w:eastAsia="宋体"/>
          <w:szCs w:val="24"/>
          <w:highlight w:val="none"/>
        </w:rPr>
        <w:t>投标保证金（实质性要求）</w:t>
      </w:r>
      <w:r>
        <w:tab/>
      </w:r>
      <w:r>
        <w:fldChar w:fldCharType="begin"/>
      </w:r>
      <w:r>
        <w:instrText xml:space="preserve"> PAGEREF _Toc12207 \h </w:instrText>
      </w:r>
      <w:r>
        <w:fldChar w:fldCharType="separate"/>
      </w:r>
      <w:r>
        <w:t>16</w:t>
      </w:r>
      <w:r>
        <w:fldChar w:fldCharType="end"/>
      </w:r>
      <w:r>
        <w:rPr>
          <w:rFonts w:eastAsia="仿宋"/>
          <w:color w:val="auto"/>
          <w:highlight w:val="none"/>
        </w:rPr>
        <w:fldChar w:fldCharType="end"/>
      </w:r>
    </w:p>
    <w:p w14:paraId="6E26C25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_Toc2102 </w:instrText>
      </w:r>
      <w:r>
        <w:rPr>
          <w:rFonts w:eastAsia="仿宋"/>
          <w:highlight w:val="none"/>
        </w:rPr>
        <w:fldChar w:fldCharType="separate"/>
      </w:r>
      <w:r>
        <w:rPr>
          <w:rFonts w:hint="eastAsia" w:ascii="宋体" w:hAnsi="宋体" w:eastAsia="宋体" w:cs="宋体"/>
          <w:szCs w:val="36"/>
          <w:highlight w:val="none"/>
        </w:rPr>
        <w:t>四、投标文件的提交</w:t>
      </w:r>
      <w:r>
        <w:tab/>
      </w:r>
      <w:r>
        <w:fldChar w:fldCharType="begin"/>
      </w:r>
      <w:r>
        <w:instrText xml:space="preserve"> PAGEREF _Toc2102 \h </w:instrText>
      </w:r>
      <w:r>
        <w:fldChar w:fldCharType="separate"/>
      </w:r>
      <w:r>
        <w:t>17</w:t>
      </w:r>
      <w:r>
        <w:fldChar w:fldCharType="end"/>
      </w:r>
      <w:r>
        <w:rPr>
          <w:rFonts w:eastAsia="仿宋"/>
          <w:color w:val="auto"/>
          <w:highlight w:val="none"/>
        </w:rPr>
        <w:fldChar w:fldCharType="end"/>
      </w:r>
    </w:p>
    <w:p w14:paraId="4C50462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_Toc22537 </w:instrText>
      </w:r>
      <w:r>
        <w:rPr>
          <w:rFonts w:eastAsia="仿宋"/>
          <w:highlight w:val="none"/>
        </w:rPr>
        <w:fldChar w:fldCharType="separate"/>
      </w:r>
      <w:r>
        <w:rPr>
          <w:rFonts w:hint="eastAsia" w:ascii="宋体" w:hAnsi="宋体" w:eastAsia="宋体"/>
          <w:szCs w:val="24"/>
        </w:rPr>
        <w:t xml:space="preserve">19. </w:t>
      </w:r>
      <w:r>
        <w:rPr>
          <w:rFonts w:hint="eastAsia" w:ascii="宋体" w:hAnsi="宋体" w:eastAsia="宋体"/>
          <w:szCs w:val="24"/>
          <w:highlight w:val="none"/>
        </w:rPr>
        <w:t>投标文件的</w:t>
      </w:r>
      <w:r>
        <w:rPr>
          <w:rFonts w:hint="eastAsia" w:ascii="宋体" w:hAnsi="宋体" w:eastAsia="宋体"/>
          <w:szCs w:val="24"/>
          <w:highlight w:val="none"/>
          <w:lang w:val="en-US" w:eastAsia="zh-CN"/>
        </w:rPr>
        <w:t>加密</w:t>
      </w:r>
      <w:r>
        <w:rPr>
          <w:rFonts w:hint="eastAsia" w:ascii="宋体" w:hAnsi="宋体" w:eastAsia="宋体"/>
          <w:szCs w:val="24"/>
          <w:highlight w:val="none"/>
        </w:rPr>
        <w:t>与标记（实质性要求）</w:t>
      </w:r>
      <w:r>
        <w:tab/>
      </w:r>
      <w:r>
        <w:fldChar w:fldCharType="begin"/>
      </w:r>
      <w:r>
        <w:instrText xml:space="preserve"> PAGEREF _Toc22537 \h </w:instrText>
      </w:r>
      <w:r>
        <w:fldChar w:fldCharType="separate"/>
      </w:r>
      <w:r>
        <w:t>17</w:t>
      </w:r>
      <w:r>
        <w:fldChar w:fldCharType="end"/>
      </w:r>
      <w:r>
        <w:rPr>
          <w:rFonts w:eastAsia="仿宋"/>
          <w:color w:val="auto"/>
          <w:highlight w:val="none"/>
        </w:rPr>
        <w:fldChar w:fldCharType="end"/>
      </w:r>
    </w:p>
    <w:p w14:paraId="32FE8F7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_Toc10439 </w:instrText>
      </w:r>
      <w:r>
        <w:rPr>
          <w:rFonts w:eastAsia="仿宋"/>
          <w:highlight w:val="none"/>
        </w:rPr>
        <w:fldChar w:fldCharType="separate"/>
      </w:r>
      <w:r>
        <w:rPr>
          <w:rFonts w:hint="eastAsia" w:ascii="宋体" w:hAnsi="宋体" w:eastAsia="宋体"/>
          <w:szCs w:val="24"/>
        </w:rPr>
        <w:t xml:space="preserve">20. </w:t>
      </w:r>
      <w:r>
        <w:rPr>
          <w:rFonts w:hint="eastAsia" w:ascii="宋体" w:hAnsi="宋体" w:eastAsia="宋体"/>
          <w:szCs w:val="24"/>
          <w:highlight w:val="none"/>
        </w:rPr>
        <w:t>提交投标文件的截止时间和地点（实质性要求）</w:t>
      </w:r>
      <w:r>
        <w:tab/>
      </w:r>
      <w:r>
        <w:fldChar w:fldCharType="begin"/>
      </w:r>
      <w:r>
        <w:instrText xml:space="preserve"> PAGEREF _Toc10439 \h </w:instrText>
      </w:r>
      <w:r>
        <w:fldChar w:fldCharType="separate"/>
      </w:r>
      <w:r>
        <w:t>17</w:t>
      </w:r>
      <w:r>
        <w:fldChar w:fldCharType="end"/>
      </w:r>
      <w:r>
        <w:rPr>
          <w:rFonts w:eastAsia="仿宋"/>
          <w:color w:val="auto"/>
          <w:highlight w:val="none"/>
        </w:rPr>
        <w:fldChar w:fldCharType="end"/>
      </w:r>
    </w:p>
    <w:p w14:paraId="3FBE97F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_Toc20632 </w:instrText>
      </w:r>
      <w:r>
        <w:rPr>
          <w:rFonts w:eastAsia="仿宋"/>
          <w:highlight w:val="none"/>
        </w:rPr>
        <w:fldChar w:fldCharType="separate"/>
      </w:r>
      <w:r>
        <w:rPr>
          <w:rFonts w:hint="eastAsia" w:ascii="宋体" w:hAnsi="宋体" w:eastAsia="宋体" w:cs="宋体"/>
          <w:szCs w:val="36"/>
          <w:highlight w:val="none"/>
        </w:rPr>
        <w:t>五、开标与评标</w:t>
      </w:r>
      <w:r>
        <w:tab/>
      </w:r>
      <w:r>
        <w:fldChar w:fldCharType="begin"/>
      </w:r>
      <w:r>
        <w:instrText xml:space="preserve"> PAGEREF _Toc20632 \h </w:instrText>
      </w:r>
      <w:r>
        <w:fldChar w:fldCharType="separate"/>
      </w:r>
      <w:r>
        <w:t>17</w:t>
      </w:r>
      <w:r>
        <w:fldChar w:fldCharType="end"/>
      </w:r>
      <w:r>
        <w:rPr>
          <w:rFonts w:eastAsia="仿宋"/>
          <w:color w:val="auto"/>
          <w:highlight w:val="none"/>
        </w:rPr>
        <w:fldChar w:fldCharType="end"/>
      </w:r>
    </w:p>
    <w:p w14:paraId="31BAE0B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_Toc15092 </w:instrText>
      </w:r>
      <w:r>
        <w:rPr>
          <w:rFonts w:eastAsia="仿宋"/>
          <w:highlight w:val="none"/>
        </w:rPr>
        <w:fldChar w:fldCharType="separate"/>
      </w:r>
      <w:r>
        <w:rPr>
          <w:rFonts w:hint="eastAsia" w:ascii="宋体" w:hAnsi="宋体" w:eastAsia="宋体"/>
          <w:szCs w:val="24"/>
        </w:rPr>
        <w:t xml:space="preserve">21. </w:t>
      </w:r>
      <w:r>
        <w:rPr>
          <w:rFonts w:hint="eastAsia" w:ascii="宋体" w:hAnsi="宋体" w:eastAsia="宋体"/>
          <w:szCs w:val="24"/>
          <w:highlight w:val="none"/>
        </w:rPr>
        <w:t>开标</w:t>
      </w:r>
      <w:r>
        <w:tab/>
      </w:r>
      <w:r>
        <w:fldChar w:fldCharType="begin"/>
      </w:r>
      <w:r>
        <w:instrText xml:space="preserve"> PAGEREF _Toc15092 \h </w:instrText>
      </w:r>
      <w:r>
        <w:fldChar w:fldCharType="separate"/>
      </w:r>
      <w:r>
        <w:t>17</w:t>
      </w:r>
      <w:r>
        <w:fldChar w:fldCharType="end"/>
      </w:r>
      <w:r>
        <w:rPr>
          <w:rFonts w:eastAsia="仿宋"/>
          <w:color w:val="auto"/>
          <w:highlight w:val="none"/>
        </w:rPr>
        <w:fldChar w:fldCharType="end"/>
      </w:r>
    </w:p>
    <w:p w14:paraId="68F0B50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_Toc1700 </w:instrText>
      </w:r>
      <w:r>
        <w:rPr>
          <w:rFonts w:eastAsia="仿宋"/>
          <w:highlight w:val="none"/>
        </w:rPr>
        <w:fldChar w:fldCharType="separate"/>
      </w:r>
      <w:r>
        <w:rPr>
          <w:rFonts w:hint="eastAsia" w:ascii="宋体" w:hAnsi="宋体" w:eastAsia="宋体"/>
          <w:szCs w:val="24"/>
        </w:rPr>
        <w:t xml:space="preserve">22. </w:t>
      </w:r>
      <w:r>
        <w:rPr>
          <w:rFonts w:hint="eastAsia" w:ascii="宋体" w:hAnsi="宋体" w:eastAsia="宋体"/>
          <w:szCs w:val="24"/>
          <w:highlight w:val="none"/>
        </w:rPr>
        <w:t>评标</w:t>
      </w:r>
      <w:r>
        <w:tab/>
      </w:r>
      <w:r>
        <w:fldChar w:fldCharType="begin"/>
      </w:r>
      <w:r>
        <w:instrText xml:space="preserve"> PAGEREF _Toc1700 \h </w:instrText>
      </w:r>
      <w:r>
        <w:fldChar w:fldCharType="separate"/>
      </w:r>
      <w:r>
        <w:t>18</w:t>
      </w:r>
      <w:r>
        <w:fldChar w:fldCharType="end"/>
      </w:r>
      <w:r>
        <w:rPr>
          <w:rFonts w:eastAsia="仿宋"/>
          <w:color w:val="auto"/>
          <w:highlight w:val="none"/>
        </w:rPr>
        <w:fldChar w:fldCharType="end"/>
      </w:r>
    </w:p>
    <w:p w14:paraId="4BAE646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_Toc12981 </w:instrText>
      </w:r>
      <w:r>
        <w:rPr>
          <w:rFonts w:eastAsia="仿宋"/>
          <w:highlight w:val="none"/>
        </w:rPr>
        <w:fldChar w:fldCharType="separate"/>
      </w:r>
      <w:r>
        <w:rPr>
          <w:rFonts w:hint="eastAsia" w:ascii="宋体" w:hAnsi="宋体" w:eastAsia="宋体"/>
          <w:szCs w:val="24"/>
        </w:rPr>
        <w:t xml:space="preserve">23. </w:t>
      </w:r>
      <w:r>
        <w:rPr>
          <w:rFonts w:hint="eastAsia" w:ascii="宋体" w:hAnsi="宋体" w:eastAsia="宋体"/>
          <w:szCs w:val="24"/>
          <w:highlight w:val="none"/>
        </w:rPr>
        <w:t>评标过程的保密</w:t>
      </w:r>
      <w:r>
        <w:tab/>
      </w:r>
      <w:r>
        <w:fldChar w:fldCharType="begin"/>
      </w:r>
      <w:r>
        <w:instrText xml:space="preserve"> PAGEREF _Toc12981 \h </w:instrText>
      </w:r>
      <w:r>
        <w:fldChar w:fldCharType="separate"/>
      </w:r>
      <w:r>
        <w:t>18</w:t>
      </w:r>
      <w:r>
        <w:fldChar w:fldCharType="end"/>
      </w:r>
      <w:r>
        <w:rPr>
          <w:rFonts w:eastAsia="仿宋"/>
          <w:color w:val="auto"/>
          <w:highlight w:val="none"/>
        </w:rPr>
        <w:fldChar w:fldCharType="end"/>
      </w:r>
    </w:p>
    <w:p w14:paraId="0A3052E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_Toc13010 </w:instrText>
      </w:r>
      <w:r>
        <w:rPr>
          <w:rFonts w:eastAsia="仿宋"/>
          <w:highlight w:val="none"/>
        </w:rPr>
        <w:fldChar w:fldCharType="separate"/>
      </w:r>
      <w:r>
        <w:rPr>
          <w:rFonts w:hint="eastAsia" w:ascii="宋体" w:hAnsi="宋体" w:eastAsia="宋体"/>
          <w:szCs w:val="24"/>
        </w:rPr>
        <w:t xml:space="preserve">24. </w:t>
      </w:r>
      <w:r>
        <w:rPr>
          <w:rFonts w:hint="eastAsia" w:ascii="宋体" w:hAnsi="宋体" w:eastAsia="宋体"/>
          <w:szCs w:val="24"/>
          <w:highlight w:val="none"/>
        </w:rPr>
        <w:t>在招标采购中，出现下列情形之一的，应予废标</w:t>
      </w:r>
      <w:r>
        <w:tab/>
      </w:r>
      <w:r>
        <w:fldChar w:fldCharType="begin"/>
      </w:r>
      <w:r>
        <w:instrText xml:space="preserve"> PAGEREF _Toc13010 \h </w:instrText>
      </w:r>
      <w:r>
        <w:fldChar w:fldCharType="separate"/>
      </w:r>
      <w:r>
        <w:t>18</w:t>
      </w:r>
      <w:r>
        <w:fldChar w:fldCharType="end"/>
      </w:r>
      <w:r>
        <w:rPr>
          <w:rFonts w:eastAsia="仿宋"/>
          <w:color w:val="auto"/>
          <w:highlight w:val="none"/>
        </w:rPr>
        <w:fldChar w:fldCharType="end"/>
      </w:r>
    </w:p>
    <w:p w14:paraId="2C2BACC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_Toc20609 </w:instrText>
      </w:r>
      <w:r>
        <w:rPr>
          <w:rFonts w:eastAsia="仿宋"/>
          <w:highlight w:val="none"/>
        </w:rPr>
        <w:fldChar w:fldCharType="separate"/>
      </w:r>
      <w:r>
        <w:rPr>
          <w:rFonts w:hint="eastAsia" w:ascii="宋体" w:hAnsi="宋体" w:eastAsia="宋体" w:cs="宋体"/>
          <w:szCs w:val="36"/>
          <w:highlight w:val="none"/>
        </w:rPr>
        <w:t>六、中标结果</w:t>
      </w:r>
      <w:r>
        <w:tab/>
      </w:r>
      <w:r>
        <w:fldChar w:fldCharType="begin"/>
      </w:r>
      <w:r>
        <w:instrText xml:space="preserve"> PAGEREF _Toc20609 \h </w:instrText>
      </w:r>
      <w:r>
        <w:fldChar w:fldCharType="separate"/>
      </w:r>
      <w:r>
        <w:t>18</w:t>
      </w:r>
      <w:r>
        <w:fldChar w:fldCharType="end"/>
      </w:r>
      <w:r>
        <w:rPr>
          <w:rFonts w:eastAsia="仿宋"/>
          <w:color w:val="auto"/>
          <w:highlight w:val="none"/>
        </w:rPr>
        <w:fldChar w:fldCharType="end"/>
      </w:r>
    </w:p>
    <w:p w14:paraId="67B5AD9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_Toc23696 </w:instrText>
      </w:r>
      <w:r>
        <w:rPr>
          <w:rFonts w:eastAsia="仿宋"/>
          <w:highlight w:val="none"/>
        </w:rPr>
        <w:fldChar w:fldCharType="separate"/>
      </w:r>
      <w:r>
        <w:rPr>
          <w:rFonts w:hint="eastAsia" w:ascii="宋体" w:hAnsi="宋体" w:eastAsia="宋体"/>
          <w:szCs w:val="24"/>
        </w:rPr>
        <w:t xml:space="preserve">25. </w:t>
      </w:r>
      <w:r>
        <w:rPr>
          <w:rFonts w:hint="eastAsia" w:ascii="宋体" w:hAnsi="宋体" w:eastAsia="宋体"/>
          <w:szCs w:val="24"/>
          <w:highlight w:val="none"/>
        </w:rPr>
        <w:t>中标人的确定</w:t>
      </w:r>
      <w:r>
        <w:tab/>
      </w:r>
      <w:r>
        <w:fldChar w:fldCharType="begin"/>
      </w:r>
      <w:r>
        <w:instrText xml:space="preserve"> PAGEREF _Toc23696 \h </w:instrText>
      </w:r>
      <w:r>
        <w:fldChar w:fldCharType="separate"/>
      </w:r>
      <w:r>
        <w:t>18</w:t>
      </w:r>
      <w:r>
        <w:fldChar w:fldCharType="end"/>
      </w:r>
      <w:r>
        <w:rPr>
          <w:rFonts w:eastAsia="仿宋"/>
          <w:color w:val="auto"/>
          <w:highlight w:val="none"/>
        </w:rPr>
        <w:fldChar w:fldCharType="end"/>
      </w:r>
    </w:p>
    <w:p w14:paraId="3A42C369">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_Toc2937 </w:instrText>
      </w:r>
      <w:r>
        <w:rPr>
          <w:rFonts w:eastAsia="仿宋"/>
          <w:highlight w:val="none"/>
        </w:rPr>
        <w:fldChar w:fldCharType="separate"/>
      </w:r>
      <w:r>
        <w:rPr>
          <w:rFonts w:hint="eastAsia" w:ascii="宋体" w:hAnsi="宋体" w:eastAsia="宋体"/>
          <w:szCs w:val="24"/>
        </w:rPr>
        <w:t xml:space="preserve">26. </w:t>
      </w:r>
      <w:r>
        <w:rPr>
          <w:rFonts w:hint="eastAsia" w:ascii="宋体" w:hAnsi="宋体" w:eastAsia="宋体"/>
          <w:szCs w:val="24"/>
          <w:highlight w:val="none"/>
        </w:rPr>
        <w:t>中标通知书</w:t>
      </w:r>
      <w:r>
        <w:tab/>
      </w:r>
      <w:r>
        <w:fldChar w:fldCharType="begin"/>
      </w:r>
      <w:r>
        <w:instrText xml:space="preserve"> PAGEREF _Toc2937 \h </w:instrText>
      </w:r>
      <w:r>
        <w:fldChar w:fldCharType="separate"/>
      </w:r>
      <w:r>
        <w:t>18</w:t>
      </w:r>
      <w:r>
        <w:fldChar w:fldCharType="end"/>
      </w:r>
      <w:r>
        <w:rPr>
          <w:rFonts w:eastAsia="仿宋"/>
          <w:color w:val="auto"/>
          <w:highlight w:val="none"/>
        </w:rPr>
        <w:fldChar w:fldCharType="end"/>
      </w:r>
    </w:p>
    <w:p w14:paraId="70592FE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_Toc15915 </w:instrText>
      </w:r>
      <w:r>
        <w:rPr>
          <w:rFonts w:eastAsia="仿宋"/>
          <w:highlight w:val="none"/>
        </w:rPr>
        <w:fldChar w:fldCharType="separate"/>
      </w:r>
      <w:r>
        <w:rPr>
          <w:rFonts w:hint="eastAsia" w:ascii="宋体" w:hAnsi="宋体" w:eastAsia="宋体"/>
          <w:szCs w:val="24"/>
        </w:rPr>
        <w:t xml:space="preserve">27. </w:t>
      </w:r>
      <w:r>
        <w:rPr>
          <w:rFonts w:hint="eastAsia" w:ascii="宋体" w:hAnsi="宋体" w:eastAsia="宋体"/>
          <w:szCs w:val="24"/>
          <w:highlight w:val="none"/>
        </w:rPr>
        <w:t>签订合同（实质性要求）</w:t>
      </w:r>
      <w:r>
        <w:tab/>
      </w:r>
      <w:r>
        <w:fldChar w:fldCharType="begin"/>
      </w:r>
      <w:r>
        <w:instrText xml:space="preserve"> PAGEREF _Toc15915 \h </w:instrText>
      </w:r>
      <w:r>
        <w:fldChar w:fldCharType="separate"/>
      </w:r>
      <w:r>
        <w:t>19</w:t>
      </w:r>
      <w:r>
        <w:fldChar w:fldCharType="end"/>
      </w:r>
      <w:r>
        <w:rPr>
          <w:rFonts w:eastAsia="仿宋"/>
          <w:color w:val="auto"/>
          <w:highlight w:val="none"/>
        </w:rPr>
        <w:fldChar w:fldCharType="end"/>
      </w:r>
    </w:p>
    <w:p w14:paraId="6684E1C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_Toc32192 </w:instrText>
      </w:r>
      <w:r>
        <w:rPr>
          <w:rFonts w:eastAsia="仿宋"/>
          <w:highlight w:val="none"/>
        </w:rPr>
        <w:fldChar w:fldCharType="separate"/>
      </w:r>
      <w:r>
        <w:rPr>
          <w:rFonts w:hint="eastAsia" w:ascii="宋体" w:hAnsi="宋体" w:eastAsia="宋体"/>
          <w:szCs w:val="24"/>
        </w:rPr>
        <w:t xml:space="preserve">28. </w:t>
      </w:r>
      <w:r>
        <w:rPr>
          <w:rFonts w:hint="eastAsia" w:ascii="宋体" w:hAnsi="宋体" w:eastAsia="宋体"/>
          <w:szCs w:val="24"/>
          <w:highlight w:val="none"/>
        </w:rPr>
        <w:t>合同分包（实质性要求）</w:t>
      </w:r>
      <w:r>
        <w:tab/>
      </w:r>
      <w:r>
        <w:fldChar w:fldCharType="begin"/>
      </w:r>
      <w:r>
        <w:instrText xml:space="preserve"> PAGEREF _Toc32192 \h </w:instrText>
      </w:r>
      <w:r>
        <w:fldChar w:fldCharType="separate"/>
      </w:r>
      <w:r>
        <w:t>19</w:t>
      </w:r>
      <w:r>
        <w:fldChar w:fldCharType="end"/>
      </w:r>
      <w:r>
        <w:rPr>
          <w:rFonts w:eastAsia="仿宋"/>
          <w:color w:val="auto"/>
          <w:highlight w:val="none"/>
        </w:rPr>
        <w:fldChar w:fldCharType="end"/>
      </w:r>
    </w:p>
    <w:p w14:paraId="512ED89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_Toc13874 </w:instrText>
      </w:r>
      <w:r>
        <w:rPr>
          <w:rFonts w:eastAsia="仿宋"/>
          <w:highlight w:val="none"/>
        </w:rPr>
        <w:fldChar w:fldCharType="separate"/>
      </w:r>
      <w:r>
        <w:rPr>
          <w:rFonts w:hint="eastAsia" w:ascii="宋体" w:hAnsi="宋体" w:eastAsia="宋体"/>
          <w:szCs w:val="24"/>
        </w:rPr>
        <w:t xml:space="preserve">29. </w:t>
      </w:r>
      <w:r>
        <w:rPr>
          <w:rFonts w:hint="eastAsia" w:ascii="宋体" w:hAnsi="宋体" w:eastAsia="宋体"/>
          <w:szCs w:val="24"/>
          <w:highlight w:val="none"/>
        </w:rPr>
        <w:t>禁止合同转包</w:t>
      </w:r>
      <w:r>
        <w:tab/>
      </w:r>
      <w:r>
        <w:fldChar w:fldCharType="begin"/>
      </w:r>
      <w:r>
        <w:instrText xml:space="preserve"> PAGEREF _Toc13874 \h </w:instrText>
      </w:r>
      <w:r>
        <w:fldChar w:fldCharType="separate"/>
      </w:r>
      <w:r>
        <w:t>19</w:t>
      </w:r>
      <w:r>
        <w:fldChar w:fldCharType="end"/>
      </w:r>
      <w:r>
        <w:rPr>
          <w:rFonts w:eastAsia="仿宋"/>
          <w:color w:val="auto"/>
          <w:highlight w:val="none"/>
        </w:rPr>
        <w:fldChar w:fldCharType="end"/>
      </w:r>
    </w:p>
    <w:p w14:paraId="1A67089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_Toc27829 </w:instrText>
      </w:r>
      <w:r>
        <w:rPr>
          <w:rFonts w:eastAsia="仿宋"/>
          <w:highlight w:val="none"/>
        </w:rPr>
        <w:fldChar w:fldCharType="separate"/>
      </w:r>
      <w:r>
        <w:rPr>
          <w:rFonts w:hint="eastAsia" w:ascii="宋体" w:hAnsi="宋体" w:eastAsia="宋体"/>
          <w:szCs w:val="24"/>
        </w:rPr>
        <w:t xml:space="preserve">30. </w:t>
      </w:r>
      <w:r>
        <w:rPr>
          <w:rFonts w:hint="eastAsia" w:ascii="宋体" w:hAnsi="宋体" w:eastAsia="宋体"/>
          <w:szCs w:val="24"/>
          <w:highlight w:val="none"/>
        </w:rPr>
        <w:t>补充合同</w:t>
      </w:r>
      <w:r>
        <w:tab/>
      </w:r>
      <w:r>
        <w:fldChar w:fldCharType="begin"/>
      </w:r>
      <w:r>
        <w:instrText xml:space="preserve"> PAGEREF _Toc27829 \h </w:instrText>
      </w:r>
      <w:r>
        <w:fldChar w:fldCharType="separate"/>
      </w:r>
      <w:r>
        <w:t>19</w:t>
      </w:r>
      <w:r>
        <w:fldChar w:fldCharType="end"/>
      </w:r>
      <w:r>
        <w:rPr>
          <w:rFonts w:eastAsia="仿宋"/>
          <w:color w:val="auto"/>
          <w:highlight w:val="none"/>
        </w:rPr>
        <w:fldChar w:fldCharType="end"/>
      </w:r>
    </w:p>
    <w:p w14:paraId="1DA9017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_Toc6485 </w:instrText>
      </w:r>
      <w:r>
        <w:rPr>
          <w:rFonts w:eastAsia="仿宋"/>
          <w:highlight w:val="none"/>
        </w:rPr>
        <w:fldChar w:fldCharType="separate"/>
      </w:r>
      <w:r>
        <w:rPr>
          <w:rFonts w:hint="eastAsia" w:ascii="宋体" w:hAnsi="宋体" w:eastAsia="宋体"/>
          <w:szCs w:val="24"/>
        </w:rPr>
        <w:t xml:space="preserve">31. </w:t>
      </w:r>
      <w:r>
        <w:rPr>
          <w:rFonts w:hint="eastAsia" w:ascii="宋体" w:hAnsi="宋体" w:eastAsia="宋体"/>
          <w:szCs w:val="24"/>
          <w:highlight w:val="none"/>
        </w:rPr>
        <w:t>履约保证金（实质性要求）</w:t>
      </w:r>
      <w:r>
        <w:tab/>
      </w:r>
      <w:r>
        <w:fldChar w:fldCharType="begin"/>
      </w:r>
      <w:r>
        <w:instrText xml:space="preserve"> PAGEREF _Toc6485 \h </w:instrText>
      </w:r>
      <w:r>
        <w:fldChar w:fldCharType="separate"/>
      </w:r>
      <w:r>
        <w:t>19</w:t>
      </w:r>
      <w:r>
        <w:fldChar w:fldCharType="end"/>
      </w:r>
      <w:r>
        <w:rPr>
          <w:rFonts w:eastAsia="仿宋"/>
          <w:color w:val="auto"/>
          <w:highlight w:val="none"/>
        </w:rPr>
        <w:fldChar w:fldCharType="end"/>
      </w:r>
    </w:p>
    <w:p w14:paraId="680B12B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_Toc5103 </w:instrText>
      </w:r>
      <w:r>
        <w:rPr>
          <w:rFonts w:eastAsia="仿宋"/>
          <w:highlight w:val="none"/>
        </w:rPr>
        <w:fldChar w:fldCharType="separate"/>
      </w:r>
      <w:r>
        <w:rPr>
          <w:rFonts w:hint="eastAsia" w:ascii="宋体" w:hAnsi="宋体" w:eastAsia="宋体"/>
          <w:szCs w:val="24"/>
        </w:rPr>
        <w:t xml:space="preserve">32. </w:t>
      </w:r>
      <w:r>
        <w:rPr>
          <w:rFonts w:hint="eastAsia" w:ascii="宋体" w:hAnsi="宋体" w:eastAsia="宋体"/>
          <w:szCs w:val="24"/>
          <w:highlight w:val="none"/>
        </w:rPr>
        <w:t>验收</w:t>
      </w:r>
      <w:r>
        <w:tab/>
      </w:r>
      <w:r>
        <w:fldChar w:fldCharType="begin"/>
      </w:r>
      <w:r>
        <w:instrText xml:space="preserve"> PAGEREF _Toc5103 \h </w:instrText>
      </w:r>
      <w:r>
        <w:fldChar w:fldCharType="separate"/>
      </w:r>
      <w:r>
        <w:t>20</w:t>
      </w:r>
      <w:r>
        <w:fldChar w:fldCharType="end"/>
      </w:r>
      <w:r>
        <w:rPr>
          <w:rFonts w:eastAsia="仿宋"/>
          <w:color w:val="auto"/>
          <w:highlight w:val="none"/>
        </w:rPr>
        <w:fldChar w:fldCharType="end"/>
      </w:r>
    </w:p>
    <w:p w14:paraId="367A4C6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_Toc4068 </w:instrText>
      </w:r>
      <w:r>
        <w:rPr>
          <w:rFonts w:eastAsia="仿宋"/>
          <w:highlight w:val="none"/>
        </w:rPr>
        <w:fldChar w:fldCharType="separate"/>
      </w:r>
      <w:r>
        <w:rPr>
          <w:rFonts w:hint="eastAsia" w:ascii="宋体" w:hAnsi="宋体" w:eastAsia="宋体" w:cs="宋体"/>
          <w:szCs w:val="36"/>
          <w:highlight w:val="none"/>
        </w:rPr>
        <w:t>七、其他事项</w:t>
      </w:r>
      <w:r>
        <w:tab/>
      </w:r>
      <w:r>
        <w:fldChar w:fldCharType="begin"/>
      </w:r>
      <w:r>
        <w:instrText xml:space="preserve"> PAGEREF _Toc4068 \h </w:instrText>
      </w:r>
      <w:r>
        <w:fldChar w:fldCharType="separate"/>
      </w:r>
      <w:r>
        <w:t>20</w:t>
      </w:r>
      <w:r>
        <w:fldChar w:fldCharType="end"/>
      </w:r>
      <w:r>
        <w:rPr>
          <w:rFonts w:eastAsia="仿宋"/>
          <w:color w:val="auto"/>
          <w:highlight w:val="none"/>
        </w:rPr>
        <w:fldChar w:fldCharType="end"/>
      </w:r>
    </w:p>
    <w:p w14:paraId="221331B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_Toc20778 </w:instrText>
      </w:r>
      <w:r>
        <w:rPr>
          <w:rFonts w:eastAsia="仿宋"/>
          <w:highlight w:val="none"/>
        </w:rPr>
        <w:fldChar w:fldCharType="separate"/>
      </w:r>
      <w:r>
        <w:rPr>
          <w:rFonts w:hint="eastAsia" w:ascii="宋体" w:hAnsi="宋体" w:eastAsia="宋体"/>
          <w:szCs w:val="24"/>
        </w:rPr>
        <w:t xml:space="preserve">33. </w:t>
      </w:r>
      <w:r>
        <w:rPr>
          <w:rFonts w:hint="eastAsia" w:ascii="宋体" w:hAnsi="宋体" w:eastAsia="宋体"/>
          <w:szCs w:val="24"/>
          <w:highlight w:val="none"/>
        </w:rPr>
        <w:t>解释权</w:t>
      </w:r>
      <w:r>
        <w:tab/>
      </w:r>
      <w:r>
        <w:fldChar w:fldCharType="begin"/>
      </w:r>
      <w:r>
        <w:instrText xml:space="preserve"> PAGEREF _Toc20778 \h </w:instrText>
      </w:r>
      <w:r>
        <w:fldChar w:fldCharType="separate"/>
      </w:r>
      <w:r>
        <w:t>20</w:t>
      </w:r>
      <w:r>
        <w:fldChar w:fldCharType="end"/>
      </w:r>
      <w:r>
        <w:rPr>
          <w:rFonts w:eastAsia="仿宋"/>
          <w:color w:val="auto"/>
          <w:highlight w:val="none"/>
        </w:rPr>
        <w:fldChar w:fldCharType="end"/>
      </w:r>
    </w:p>
    <w:p w14:paraId="274AD5B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_Toc17559 </w:instrText>
      </w:r>
      <w:r>
        <w:rPr>
          <w:rFonts w:eastAsia="仿宋"/>
          <w:highlight w:val="none"/>
        </w:rPr>
        <w:fldChar w:fldCharType="separate"/>
      </w:r>
      <w:r>
        <w:rPr>
          <w:rFonts w:hint="eastAsia" w:ascii="宋体" w:hAnsi="宋体" w:eastAsia="宋体"/>
          <w:szCs w:val="24"/>
        </w:rPr>
        <w:t xml:space="preserve">34. </w:t>
      </w:r>
      <w:r>
        <w:rPr>
          <w:rFonts w:hint="eastAsia" w:ascii="宋体" w:hAnsi="宋体" w:eastAsia="宋体"/>
          <w:szCs w:val="24"/>
          <w:highlight w:val="none"/>
        </w:rPr>
        <w:t>政府采购有关政策（实质性要求）</w:t>
      </w:r>
      <w:r>
        <w:tab/>
      </w:r>
      <w:r>
        <w:fldChar w:fldCharType="begin"/>
      </w:r>
      <w:r>
        <w:instrText xml:space="preserve"> PAGEREF _Toc17559 \h </w:instrText>
      </w:r>
      <w:r>
        <w:fldChar w:fldCharType="separate"/>
      </w:r>
      <w:r>
        <w:t>20</w:t>
      </w:r>
      <w:r>
        <w:fldChar w:fldCharType="end"/>
      </w:r>
      <w:r>
        <w:rPr>
          <w:rFonts w:eastAsia="仿宋"/>
          <w:color w:val="auto"/>
          <w:highlight w:val="none"/>
        </w:rPr>
        <w:fldChar w:fldCharType="end"/>
      </w:r>
    </w:p>
    <w:p w14:paraId="72E9BFAA">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_Toc134 </w:instrText>
      </w:r>
      <w:r>
        <w:rPr>
          <w:rFonts w:eastAsia="仿宋"/>
          <w:highlight w:val="none"/>
        </w:rPr>
        <w:fldChar w:fldCharType="separate"/>
      </w:r>
      <w:r>
        <w:rPr>
          <w:rFonts w:hint="eastAsia" w:ascii="宋体" w:hAnsi="宋体" w:eastAsia="宋体" w:cs="宋体"/>
          <w:szCs w:val="32"/>
          <w:highlight w:val="none"/>
        </w:rPr>
        <w:t>第三章  合同书样式及主要条款</w:t>
      </w:r>
      <w:r>
        <w:tab/>
      </w:r>
      <w:r>
        <w:fldChar w:fldCharType="begin"/>
      </w:r>
      <w:r>
        <w:instrText xml:space="preserve"> PAGEREF _Toc134 \h </w:instrText>
      </w:r>
      <w:r>
        <w:fldChar w:fldCharType="separate"/>
      </w:r>
      <w:r>
        <w:t>23</w:t>
      </w:r>
      <w:r>
        <w:fldChar w:fldCharType="end"/>
      </w:r>
      <w:r>
        <w:rPr>
          <w:rFonts w:eastAsia="仿宋"/>
          <w:color w:val="auto"/>
          <w:highlight w:val="none"/>
        </w:rPr>
        <w:fldChar w:fldCharType="end"/>
      </w:r>
    </w:p>
    <w:p w14:paraId="3403ECD7">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_Toc5704 </w:instrText>
      </w:r>
      <w:r>
        <w:rPr>
          <w:rFonts w:eastAsia="仿宋"/>
          <w:highlight w:val="none"/>
        </w:rPr>
        <w:fldChar w:fldCharType="separate"/>
      </w:r>
      <w:r>
        <w:rPr>
          <w:rFonts w:hint="eastAsia" w:ascii="宋体" w:hAnsi="宋体" w:eastAsia="宋体" w:cs="宋体"/>
          <w:szCs w:val="32"/>
          <w:highlight w:val="none"/>
        </w:rPr>
        <w:t xml:space="preserve">第四章 </w:t>
      </w:r>
      <w:r>
        <w:rPr>
          <w:rFonts w:ascii="宋体" w:hAnsi="宋体" w:eastAsia="宋体" w:cs="宋体"/>
          <w:szCs w:val="32"/>
          <w:highlight w:val="none"/>
        </w:rPr>
        <w:t xml:space="preserve"> </w:t>
      </w:r>
      <w:r>
        <w:rPr>
          <w:rFonts w:hint="eastAsia" w:ascii="宋体" w:hAnsi="宋体" w:eastAsia="宋体" w:cs="宋体"/>
          <w:szCs w:val="32"/>
          <w:highlight w:val="none"/>
        </w:rPr>
        <w:t>投标文件格式</w:t>
      </w:r>
      <w:r>
        <w:tab/>
      </w:r>
      <w:r>
        <w:fldChar w:fldCharType="begin"/>
      </w:r>
      <w:r>
        <w:instrText xml:space="preserve"> PAGEREF _Toc5704 \h </w:instrText>
      </w:r>
      <w:r>
        <w:fldChar w:fldCharType="separate"/>
      </w:r>
      <w:r>
        <w:t>30</w:t>
      </w:r>
      <w:r>
        <w:fldChar w:fldCharType="end"/>
      </w:r>
      <w:r>
        <w:rPr>
          <w:rFonts w:eastAsia="仿宋"/>
          <w:color w:val="auto"/>
          <w:highlight w:val="none"/>
        </w:rPr>
        <w:fldChar w:fldCharType="end"/>
      </w:r>
    </w:p>
    <w:p w14:paraId="362E3D7B">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_Toc5059 </w:instrText>
      </w:r>
      <w:r>
        <w:rPr>
          <w:rFonts w:eastAsia="仿宋"/>
          <w:highlight w:val="none"/>
        </w:rPr>
        <w:fldChar w:fldCharType="separate"/>
      </w:r>
      <w:r>
        <w:rPr>
          <w:rFonts w:hint="eastAsia" w:eastAsia="宋体"/>
          <w:spacing w:val="20"/>
          <w:highlight w:val="none"/>
        </w:rPr>
        <w:t>一、资格审查部分</w:t>
      </w:r>
      <w:r>
        <w:tab/>
      </w:r>
      <w:r>
        <w:fldChar w:fldCharType="begin"/>
      </w:r>
      <w:r>
        <w:instrText xml:space="preserve"> PAGEREF _Toc5059 \h </w:instrText>
      </w:r>
      <w:r>
        <w:fldChar w:fldCharType="separate"/>
      </w:r>
      <w:r>
        <w:t>31</w:t>
      </w:r>
      <w:r>
        <w:fldChar w:fldCharType="end"/>
      </w:r>
      <w:r>
        <w:rPr>
          <w:rFonts w:eastAsia="仿宋"/>
          <w:color w:val="auto"/>
          <w:highlight w:val="none"/>
        </w:rPr>
        <w:fldChar w:fldCharType="end"/>
      </w:r>
    </w:p>
    <w:p w14:paraId="24E87F3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_Toc19650 </w:instrText>
      </w:r>
      <w:r>
        <w:rPr>
          <w:rFonts w:eastAsia="仿宋"/>
          <w:highlight w:val="none"/>
        </w:rPr>
        <w:fldChar w:fldCharType="separate"/>
      </w:r>
      <w:r>
        <w:rPr>
          <w:rFonts w:hint="eastAsia" w:ascii="宋体" w:hAnsi="宋体" w:eastAsia="宋体"/>
          <w:szCs w:val="28"/>
          <w:highlight w:val="none"/>
        </w:rPr>
        <w:t>格式1：投标文件封面格式</w:t>
      </w:r>
      <w:r>
        <w:tab/>
      </w:r>
      <w:r>
        <w:fldChar w:fldCharType="begin"/>
      </w:r>
      <w:r>
        <w:instrText xml:space="preserve"> PAGEREF _Toc19650 \h </w:instrText>
      </w:r>
      <w:r>
        <w:fldChar w:fldCharType="separate"/>
      </w:r>
      <w:r>
        <w:t>32</w:t>
      </w:r>
      <w:r>
        <w:fldChar w:fldCharType="end"/>
      </w:r>
      <w:r>
        <w:rPr>
          <w:rFonts w:eastAsia="仿宋"/>
          <w:color w:val="auto"/>
          <w:highlight w:val="none"/>
        </w:rPr>
        <w:fldChar w:fldCharType="end"/>
      </w:r>
    </w:p>
    <w:p w14:paraId="598FCFF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_Toc1122 </w:instrText>
      </w:r>
      <w:r>
        <w:rPr>
          <w:rFonts w:eastAsia="仿宋"/>
          <w:highlight w:val="none"/>
        </w:rPr>
        <w:fldChar w:fldCharType="separate"/>
      </w:r>
      <w:r>
        <w:rPr>
          <w:rFonts w:hint="eastAsia" w:ascii="宋体" w:hAnsi="宋体" w:eastAsia="宋体"/>
          <w:szCs w:val="28"/>
          <w:highlight w:val="none"/>
        </w:rPr>
        <w:t>格式2：投标人信息表</w:t>
      </w:r>
      <w:r>
        <w:tab/>
      </w:r>
      <w:r>
        <w:fldChar w:fldCharType="begin"/>
      </w:r>
      <w:r>
        <w:instrText xml:space="preserve"> PAGEREF _Toc1122 \h </w:instrText>
      </w:r>
      <w:r>
        <w:fldChar w:fldCharType="separate"/>
      </w:r>
      <w:r>
        <w:t>33</w:t>
      </w:r>
      <w:r>
        <w:fldChar w:fldCharType="end"/>
      </w:r>
      <w:r>
        <w:rPr>
          <w:rFonts w:eastAsia="仿宋"/>
          <w:color w:val="auto"/>
          <w:highlight w:val="none"/>
        </w:rPr>
        <w:fldChar w:fldCharType="end"/>
      </w:r>
    </w:p>
    <w:p w14:paraId="27572044">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_Toc4315 </w:instrText>
      </w:r>
      <w:r>
        <w:rPr>
          <w:rFonts w:eastAsia="仿宋"/>
          <w:highlight w:val="none"/>
        </w:rPr>
        <w:fldChar w:fldCharType="separate"/>
      </w:r>
      <w:r>
        <w:rPr>
          <w:rFonts w:hint="eastAsia" w:eastAsia="宋体"/>
          <w:spacing w:val="20"/>
          <w:highlight w:val="none"/>
        </w:rPr>
        <w:t>二、技术部分</w:t>
      </w:r>
      <w:r>
        <w:tab/>
      </w:r>
      <w:r>
        <w:fldChar w:fldCharType="begin"/>
      </w:r>
      <w:r>
        <w:instrText xml:space="preserve"> PAGEREF _Toc4315 \h </w:instrText>
      </w:r>
      <w:r>
        <w:fldChar w:fldCharType="separate"/>
      </w:r>
      <w:r>
        <w:t>34</w:t>
      </w:r>
      <w:r>
        <w:fldChar w:fldCharType="end"/>
      </w:r>
      <w:r>
        <w:rPr>
          <w:rFonts w:eastAsia="仿宋"/>
          <w:color w:val="auto"/>
          <w:highlight w:val="none"/>
        </w:rPr>
        <w:fldChar w:fldCharType="end"/>
      </w:r>
    </w:p>
    <w:p w14:paraId="2349AE7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_Toc32725 </w:instrText>
      </w:r>
      <w:r>
        <w:rPr>
          <w:rFonts w:eastAsia="仿宋"/>
          <w:highlight w:val="none"/>
        </w:rPr>
        <w:fldChar w:fldCharType="separate"/>
      </w:r>
      <w:r>
        <w:rPr>
          <w:rFonts w:hint="eastAsia" w:ascii="宋体" w:hAnsi="宋体" w:eastAsia="宋体"/>
          <w:szCs w:val="28"/>
          <w:highlight w:val="none"/>
        </w:rPr>
        <w:t>格式3：技术响应偏离表</w:t>
      </w:r>
      <w:r>
        <w:tab/>
      </w:r>
      <w:r>
        <w:fldChar w:fldCharType="begin"/>
      </w:r>
      <w:r>
        <w:instrText xml:space="preserve"> PAGEREF _Toc32725 \h </w:instrText>
      </w:r>
      <w:r>
        <w:fldChar w:fldCharType="separate"/>
      </w:r>
      <w:r>
        <w:t>35</w:t>
      </w:r>
      <w:r>
        <w:fldChar w:fldCharType="end"/>
      </w:r>
      <w:r>
        <w:rPr>
          <w:rFonts w:eastAsia="仿宋"/>
          <w:color w:val="auto"/>
          <w:highlight w:val="none"/>
        </w:rPr>
        <w:fldChar w:fldCharType="end"/>
      </w:r>
    </w:p>
    <w:p w14:paraId="731A0FF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_Toc10855 </w:instrText>
      </w:r>
      <w:r>
        <w:rPr>
          <w:rFonts w:eastAsia="仿宋"/>
          <w:highlight w:val="none"/>
        </w:rPr>
        <w:fldChar w:fldCharType="separate"/>
      </w:r>
      <w:r>
        <w:rPr>
          <w:rFonts w:hint="eastAsia" w:ascii="宋体" w:hAnsi="宋体" w:eastAsia="宋体"/>
          <w:szCs w:val="28"/>
          <w:highlight w:val="none"/>
        </w:rPr>
        <w:t>格式4：项目实施方案</w:t>
      </w:r>
      <w:r>
        <w:tab/>
      </w:r>
      <w:r>
        <w:fldChar w:fldCharType="begin"/>
      </w:r>
      <w:r>
        <w:instrText xml:space="preserve"> PAGEREF _Toc10855 \h </w:instrText>
      </w:r>
      <w:r>
        <w:fldChar w:fldCharType="separate"/>
      </w:r>
      <w:r>
        <w:t>36</w:t>
      </w:r>
      <w:r>
        <w:fldChar w:fldCharType="end"/>
      </w:r>
      <w:r>
        <w:rPr>
          <w:rFonts w:eastAsia="仿宋"/>
          <w:color w:val="auto"/>
          <w:highlight w:val="none"/>
        </w:rPr>
        <w:fldChar w:fldCharType="end"/>
      </w:r>
    </w:p>
    <w:p w14:paraId="0705D69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_Toc26146 </w:instrText>
      </w:r>
      <w:r>
        <w:rPr>
          <w:rFonts w:eastAsia="仿宋"/>
          <w:highlight w:val="none"/>
        </w:rPr>
        <w:fldChar w:fldCharType="separate"/>
      </w:r>
      <w:r>
        <w:rPr>
          <w:rFonts w:hint="eastAsia" w:ascii="宋体" w:hAnsi="宋体" w:eastAsia="宋体"/>
          <w:szCs w:val="28"/>
          <w:highlight w:val="none"/>
        </w:rPr>
        <w:t>格式5：质量保证及承诺</w:t>
      </w:r>
      <w:r>
        <w:tab/>
      </w:r>
      <w:r>
        <w:fldChar w:fldCharType="begin"/>
      </w:r>
      <w:r>
        <w:instrText xml:space="preserve"> PAGEREF _Toc26146 \h </w:instrText>
      </w:r>
      <w:r>
        <w:fldChar w:fldCharType="separate"/>
      </w:r>
      <w:r>
        <w:t>37</w:t>
      </w:r>
      <w:r>
        <w:fldChar w:fldCharType="end"/>
      </w:r>
      <w:r>
        <w:rPr>
          <w:rFonts w:eastAsia="仿宋"/>
          <w:color w:val="auto"/>
          <w:highlight w:val="none"/>
        </w:rPr>
        <w:fldChar w:fldCharType="end"/>
      </w:r>
    </w:p>
    <w:p w14:paraId="757BB953">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_Toc23245 </w:instrText>
      </w:r>
      <w:r>
        <w:rPr>
          <w:rFonts w:eastAsia="仿宋"/>
          <w:highlight w:val="none"/>
        </w:rPr>
        <w:fldChar w:fldCharType="separate"/>
      </w:r>
      <w:r>
        <w:rPr>
          <w:rFonts w:hint="eastAsia" w:ascii="宋体" w:hAnsi="宋体" w:eastAsia="宋体"/>
          <w:szCs w:val="28"/>
          <w:highlight w:val="none"/>
        </w:rPr>
        <w:t>格式6：售后服务</w:t>
      </w:r>
      <w:r>
        <w:tab/>
      </w:r>
      <w:r>
        <w:fldChar w:fldCharType="begin"/>
      </w:r>
      <w:r>
        <w:instrText xml:space="preserve"> PAGEREF _Toc23245 \h </w:instrText>
      </w:r>
      <w:r>
        <w:fldChar w:fldCharType="separate"/>
      </w:r>
      <w:r>
        <w:t>38</w:t>
      </w:r>
      <w:r>
        <w:fldChar w:fldCharType="end"/>
      </w:r>
      <w:r>
        <w:rPr>
          <w:rFonts w:eastAsia="仿宋"/>
          <w:color w:val="auto"/>
          <w:highlight w:val="none"/>
        </w:rPr>
        <w:fldChar w:fldCharType="end"/>
      </w:r>
    </w:p>
    <w:p w14:paraId="61070DEC">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_Toc13989 </w:instrText>
      </w:r>
      <w:r>
        <w:rPr>
          <w:rFonts w:eastAsia="仿宋"/>
          <w:highlight w:val="none"/>
        </w:rPr>
        <w:fldChar w:fldCharType="separate"/>
      </w:r>
      <w:r>
        <w:rPr>
          <w:rFonts w:hint="eastAsia" w:eastAsia="宋体"/>
          <w:spacing w:val="20"/>
          <w:highlight w:val="none"/>
        </w:rPr>
        <w:t>三、商务部分</w:t>
      </w:r>
      <w:r>
        <w:tab/>
      </w:r>
      <w:r>
        <w:fldChar w:fldCharType="begin"/>
      </w:r>
      <w:r>
        <w:instrText xml:space="preserve"> PAGEREF _Toc13989 \h </w:instrText>
      </w:r>
      <w:r>
        <w:fldChar w:fldCharType="separate"/>
      </w:r>
      <w:r>
        <w:t>39</w:t>
      </w:r>
      <w:r>
        <w:fldChar w:fldCharType="end"/>
      </w:r>
      <w:r>
        <w:rPr>
          <w:rFonts w:eastAsia="仿宋"/>
          <w:color w:val="auto"/>
          <w:highlight w:val="none"/>
        </w:rPr>
        <w:fldChar w:fldCharType="end"/>
      </w:r>
    </w:p>
    <w:p w14:paraId="131C729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_Toc8519 </w:instrText>
      </w:r>
      <w:r>
        <w:rPr>
          <w:rFonts w:eastAsia="仿宋"/>
          <w:highlight w:val="none"/>
        </w:rPr>
        <w:fldChar w:fldCharType="separate"/>
      </w:r>
      <w:r>
        <w:rPr>
          <w:rFonts w:hint="eastAsia" w:ascii="宋体" w:hAnsi="宋体" w:eastAsia="宋体"/>
          <w:szCs w:val="28"/>
          <w:highlight w:val="none"/>
        </w:rPr>
        <w:t>格式7：开标（唱标）一览表</w:t>
      </w:r>
      <w:r>
        <w:tab/>
      </w:r>
      <w:r>
        <w:fldChar w:fldCharType="begin"/>
      </w:r>
      <w:r>
        <w:instrText xml:space="preserve"> PAGEREF _Toc8519 \h </w:instrText>
      </w:r>
      <w:r>
        <w:fldChar w:fldCharType="separate"/>
      </w:r>
      <w:r>
        <w:t>40</w:t>
      </w:r>
      <w:r>
        <w:fldChar w:fldCharType="end"/>
      </w:r>
      <w:r>
        <w:rPr>
          <w:rFonts w:eastAsia="仿宋"/>
          <w:color w:val="auto"/>
          <w:highlight w:val="none"/>
        </w:rPr>
        <w:fldChar w:fldCharType="end"/>
      </w:r>
    </w:p>
    <w:p w14:paraId="08B45D9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_Toc9170 </w:instrText>
      </w:r>
      <w:r>
        <w:rPr>
          <w:rFonts w:eastAsia="仿宋"/>
          <w:highlight w:val="none"/>
        </w:rPr>
        <w:fldChar w:fldCharType="separate"/>
      </w:r>
      <w:r>
        <w:rPr>
          <w:rFonts w:hint="eastAsia" w:ascii="宋体" w:hAnsi="宋体" w:eastAsia="宋体"/>
          <w:szCs w:val="28"/>
          <w:highlight w:val="none"/>
        </w:rPr>
        <w:t>格式8：投标分项报价一览表</w:t>
      </w:r>
      <w:r>
        <w:tab/>
      </w:r>
      <w:r>
        <w:fldChar w:fldCharType="begin"/>
      </w:r>
      <w:r>
        <w:instrText xml:space="preserve"> PAGEREF _Toc9170 \h </w:instrText>
      </w:r>
      <w:r>
        <w:fldChar w:fldCharType="separate"/>
      </w:r>
      <w:r>
        <w:t>41</w:t>
      </w:r>
      <w:r>
        <w:fldChar w:fldCharType="end"/>
      </w:r>
      <w:r>
        <w:rPr>
          <w:rFonts w:eastAsia="仿宋"/>
          <w:color w:val="auto"/>
          <w:highlight w:val="none"/>
        </w:rPr>
        <w:fldChar w:fldCharType="end"/>
      </w:r>
    </w:p>
    <w:p w14:paraId="6B6F154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_Toc24080 </w:instrText>
      </w:r>
      <w:r>
        <w:rPr>
          <w:rFonts w:eastAsia="仿宋"/>
          <w:highlight w:val="none"/>
        </w:rPr>
        <w:fldChar w:fldCharType="separate"/>
      </w:r>
      <w:r>
        <w:rPr>
          <w:rFonts w:hint="eastAsia" w:ascii="宋体" w:hAnsi="宋体" w:eastAsia="宋体"/>
          <w:szCs w:val="28"/>
          <w:highlight w:val="none"/>
        </w:rPr>
        <w:t>格式9：投标函</w:t>
      </w:r>
      <w:r>
        <w:tab/>
      </w:r>
      <w:r>
        <w:fldChar w:fldCharType="begin"/>
      </w:r>
      <w:r>
        <w:instrText xml:space="preserve"> PAGEREF _Toc24080 \h </w:instrText>
      </w:r>
      <w:r>
        <w:fldChar w:fldCharType="separate"/>
      </w:r>
      <w:r>
        <w:t>42</w:t>
      </w:r>
      <w:r>
        <w:fldChar w:fldCharType="end"/>
      </w:r>
      <w:r>
        <w:rPr>
          <w:rFonts w:eastAsia="仿宋"/>
          <w:color w:val="auto"/>
          <w:highlight w:val="none"/>
        </w:rPr>
        <w:fldChar w:fldCharType="end"/>
      </w:r>
    </w:p>
    <w:p w14:paraId="2DE0DBB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_Toc3627 </w:instrText>
      </w:r>
      <w:r>
        <w:rPr>
          <w:rFonts w:eastAsia="仿宋"/>
          <w:highlight w:val="none"/>
        </w:rPr>
        <w:fldChar w:fldCharType="separate"/>
      </w:r>
      <w:r>
        <w:rPr>
          <w:rFonts w:hint="eastAsia" w:ascii="宋体" w:hAnsi="宋体" w:eastAsia="宋体"/>
          <w:szCs w:val="28"/>
          <w:highlight w:val="none"/>
        </w:rPr>
        <w:t>投标函附录</w:t>
      </w:r>
      <w:r>
        <w:tab/>
      </w:r>
      <w:r>
        <w:fldChar w:fldCharType="begin"/>
      </w:r>
      <w:r>
        <w:instrText xml:space="preserve"> PAGEREF _Toc3627 \h </w:instrText>
      </w:r>
      <w:r>
        <w:fldChar w:fldCharType="separate"/>
      </w:r>
      <w:r>
        <w:t>44</w:t>
      </w:r>
      <w:r>
        <w:fldChar w:fldCharType="end"/>
      </w:r>
      <w:r>
        <w:rPr>
          <w:rFonts w:eastAsia="仿宋"/>
          <w:color w:val="auto"/>
          <w:highlight w:val="none"/>
        </w:rPr>
        <w:fldChar w:fldCharType="end"/>
      </w:r>
    </w:p>
    <w:p w14:paraId="5DB3EAD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_Toc13323 </w:instrText>
      </w:r>
      <w:r>
        <w:rPr>
          <w:rFonts w:eastAsia="仿宋"/>
          <w:highlight w:val="none"/>
        </w:rPr>
        <w:fldChar w:fldCharType="separate"/>
      </w:r>
      <w:r>
        <w:rPr>
          <w:rFonts w:hint="eastAsia" w:ascii="宋体" w:hAnsi="宋体" w:eastAsia="宋体"/>
          <w:szCs w:val="28"/>
          <w:highlight w:val="none"/>
        </w:rPr>
        <w:t>格式10：法定代表人身份证明书</w:t>
      </w:r>
      <w:r>
        <w:tab/>
      </w:r>
      <w:r>
        <w:fldChar w:fldCharType="begin"/>
      </w:r>
      <w:r>
        <w:instrText xml:space="preserve"> PAGEREF _Toc13323 \h </w:instrText>
      </w:r>
      <w:r>
        <w:fldChar w:fldCharType="separate"/>
      </w:r>
      <w:r>
        <w:t>45</w:t>
      </w:r>
      <w:r>
        <w:fldChar w:fldCharType="end"/>
      </w:r>
      <w:r>
        <w:rPr>
          <w:rFonts w:eastAsia="仿宋"/>
          <w:color w:val="auto"/>
          <w:highlight w:val="none"/>
        </w:rPr>
        <w:fldChar w:fldCharType="end"/>
      </w:r>
    </w:p>
    <w:p w14:paraId="6DBDA6F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_Toc26567 </w:instrText>
      </w:r>
      <w:r>
        <w:rPr>
          <w:rFonts w:eastAsia="仿宋"/>
          <w:highlight w:val="none"/>
        </w:rPr>
        <w:fldChar w:fldCharType="separate"/>
      </w:r>
      <w:r>
        <w:rPr>
          <w:rFonts w:hint="eastAsia" w:ascii="宋体" w:hAnsi="宋体" w:eastAsia="宋体"/>
          <w:szCs w:val="28"/>
          <w:highlight w:val="none"/>
        </w:rPr>
        <w:t>格式11：</w:t>
      </w:r>
      <w:r>
        <w:rPr>
          <w:rFonts w:ascii="宋体" w:hAnsi="宋体" w:eastAsia="宋体"/>
          <w:szCs w:val="28"/>
          <w:highlight w:val="none"/>
        </w:rPr>
        <w:t>法定代表人签署的授权委托书</w:t>
      </w:r>
      <w:r>
        <w:tab/>
      </w:r>
      <w:r>
        <w:fldChar w:fldCharType="begin"/>
      </w:r>
      <w:r>
        <w:instrText xml:space="preserve"> PAGEREF _Toc26567 \h </w:instrText>
      </w:r>
      <w:r>
        <w:fldChar w:fldCharType="separate"/>
      </w:r>
      <w:r>
        <w:t>46</w:t>
      </w:r>
      <w:r>
        <w:fldChar w:fldCharType="end"/>
      </w:r>
      <w:r>
        <w:rPr>
          <w:rFonts w:eastAsia="仿宋"/>
          <w:color w:val="auto"/>
          <w:highlight w:val="none"/>
        </w:rPr>
        <w:fldChar w:fldCharType="end"/>
      </w:r>
    </w:p>
    <w:p w14:paraId="75BF8F9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_Toc17583 </w:instrText>
      </w:r>
      <w:r>
        <w:rPr>
          <w:rFonts w:eastAsia="仿宋"/>
          <w:highlight w:val="none"/>
        </w:rPr>
        <w:fldChar w:fldCharType="separate"/>
      </w:r>
      <w:r>
        <w:rPr>
          <w:rFonts w:hint="eastAsia" w:ascii="宋体" w:hAnsi="宋体" w:eastAsia="宋体"/>
          <w:szCs w:val="28"/>
          <w:highlight w:val="none"/>
        </w:rPr>
        <w:t>格式12：投标保证书</w:t>
      </w:r>
      <w:r>
        <w:tab/>
      </w:r>
      <w:r>
        <w:fldChar w:fldCharType="begin"/>
      </w:r>
      <w:r>
        <w:instrText xml:space="preserve"> PAGEREF _Toc17583 \h </w:instrText>
      </w:r>
      <w:r>
        <w:fldChar w:fldCharType="separate"/>
      </w:r>
      <w:r>
        <w:t>47</w:t>
      </w:r>
      <w:r>
        <w:fldChar w:fldCharType="end"/>
      </w:r>
      <w:r>
        <w:rPr>
          <w:rFonts w:eastAsia="仿宋"/>
          <w:color w:val="auto"/>
          <w:highlight w:val="none"/>
        </w:rPr>
        <w:fldChar w:fldCharType="end"/>
      </w:r>
    </w:p>
    <w:p w14:paraId="03D381B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_Toc19733 </w:instrText>
      </w:r>
      <w:r>
        <w:rPr>
          <w:rFonts w:eastAsia="仿宋"/>
          <w:highlight w:val="none"/>
        </w:rPr>
        <w:fldChar w:fldCharType="separate"/>
      </w:r>
      <w:r>
        <w:rPr>
          <w:rFonts w:hint="eastAsia" w:ascii="宋体" w:hAnsi="宋体" w:eastAsia="宋体"/>
          <w:szCs w:val="28"/>
          <w:highlight w:val="none"/>
        </w:rPr>
        <w:t>格式13：售后服务方案</w:t>
      </w:r>
      <w:r>
        <w:tab/>
      </w:r>
      <w:r>
        <w:fldChar w:fldCharType="begin"/>
      </w:r>
      <w:r>
        <w:instrText xml:space="preserve"> PAGEREF _Toc19733 \h </w:instrText>
      </w:r>
      <w:r>
        <w:fldChar w:fldCharType="separate"/>
      </w:r>
      <w:r>
        <w:t>48</w:t>
      </w:r>
      <w:r>
        <w:fldChar w:fldCharType="end"/>
      </w:r>
      <w:r>
        <w:rPr>
          <w:rFonts w:eastAsia="仿宋"/>
          <w:color w:val="auto"/>
          <w:highlight w:val="none"/>
        </w:rPr>
        <w:fldChar w:fldCharType="end"/>
      </w:r>
    </w:p>
    <w:p w14:paraId="457B98EF">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_Toc53 </w:instrText>
      </w:r>
      <w:r>
        <w:rPr>
          <w:rFonts w:eastAsia="仿宋"/>
          <w:highlight w:val="none"/>
        </w:rPr>
        <w:fldChar w:fldCharType="separate"/>
      </w:r>
      <w:r>
        <w:rPr>
          <w:rFonts w:hint="eastAsia" w:ascii="宋体" w:hAnsi="宋体" w:eastAsia="宋体"/>
          <w:szCs w:val="28"/>
          <w:highlight w:val="none"/>
        </w:rPr>
        <w:t>格式14：近三年已完成类似项目业绩表</w:t>
      </w:r>
      <w:r>
        <w:tab/>
      </w:r>
      <w:r>
        <w:fldChar w:fldCharType="begin"/>
      </w:r>
      <w:r>
        <w:instrText xml:space="preserve"> PAGEREF _Toc53 \h </w:instrText>
      </w:r>
      <w:r>
        <w:fldChar w:fldCharType="separate"/>
      </w:r>
      <w:r>
        <w:t>49</w:t>
      </w:r>
      <w:r>
        <w:fldChar w:fldCharType="end"/>
      </w:r>
      <w:r>
        <w:rPr>
          <w:rFonts w:eastAsia="仿宋"/>
          <w:color w:val="auto"/>
          <w:highlight w:val="none"/>
        </w:rPr>
        <w:fldChar w:fldCharType="end"/>
      </w:r>
    </w:p>
    <w:p w14:paraId="51B626C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_Toc17609 </w:instrText>
      </w:r>
      <w:r>
        <w:rPr>
          <w:rFonts w:eastAsia="仿宋"/>
          <w:highlight w:val="none"/>
        </w:rPr>
        <w:fldChar w:fldCharType="separate"/>
      </w:r>
      <w:r>
        <w:rPr>
          <w:rFonts w:hint="eastAsia" w:ascii="宋体" w:hAnsi="宋体" w:eastAsia="宋体"/>
          <w:szCs w:val="28"/>
          <w:highlight w:val="none"/>
        </w:rPr>
        <w:t>格式15：中小企业声明函（货物）</w:t>
      </w:r>
      <w:r>
        <w:tab/>
      </w:r>
      <w:r>
        <w:fldChar w:fldCharType="begin"/>
      </w:r>
      <w:r>
        <w:instrText xml:space="preserve"> PAGEREF _Toc17609 \h </w:instrText>
      </w:r>
      <w:r>
        <w:fldChar w:fldCharType="separate"/>
      </w:r>
      <w:r>
        <w:t>50</w:t>
      </w:r>
      <w:r>
        <w:fldChar w:fldCharType="end"/>
      </w:r>
      <w:r>
        <w:rPr>
          <w:rFonts w:eastAsia="仿宋"/>
          <w:color w:val="auto"/>
          <w:highlight w:val="none"/>
        </w:rPr>
        <w:fldChar w:fldCharType="end"/>
      </w:r>
    </w:p>
    <w:p w14:paraId="3D93EF7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_Toc21601 </w:instrText>
      </w:r>
      <w:r>
        <w:rPr>
          <w:rFonts w:eastAsia="仿宋"/>
          <w:highlight w:val="none"/>
        </w:rPr>
        <w:fldChar w:fldCharType="separate"/>
      </w:r>
      <w:r>
        <w:rPr>
          <w:rFonts w:hint="eastAsia" w:ascii="宋体" w:hAnsi="宋体" w:eastAsia="宋体"/>
          <w:szCs w:val="28"/>
          <w:highlight w:val="none"/>
        </w:rPr>
        <w:t>格式16：残疾人福利性单位声明函</w:t>
      </w:r>
      <w:r>
        <w:tab/>
      </w:r>
      <w:r>
        <w:fldChar w:fldCharType="begin"/>
      </w:r>
      <w:r>
        <w:instrText xml:space="preserve"> PAGEREF _Toc21601 \h </w:instrText>
      </w:r>
      <w:r>
        <w:fldChar w:fldCharType="separate"/>
      </w:r>
      <w:r>
        <w:t>53</w:t>
      </w:r>
      <w:r>
        <w:fldChar w:fldCharType="end"/>
      </w:r>
      <w:r>
        <w:rPr>
          <w:rFonts w:eastAsia="仿宋"/>
          <w:color w:val="auto"/>
          <w:highlight w:val="none"/>
        </w:rPr>
        <w:fldChar w:fldCharType="end"/>
      </w:r>
    </w:p>
    <w:p w14:paraId="65172EE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_Toc26639 </w:instrText>
      </w:r>
      <w:r>
        <w:rPr>
          <w:rFonts w:eastAsia="仿宋"/>
          <w:highlight w:val="none"/>
        </w:rPr>
        <w:fldChar w:fldCharType="separate"/>
      </w:r>
      <w:r>
        <w:rPr>
          <w:rFonts w:hint="eastAsia" w:ascii="宋体" w:hAnsi="宋体" w:eastAsia="宋体"/>
          <w:szCs w:val="28"/>
          <w:highlight w:val="none"/>
        </w:rPr>
        <w:t>格式17：监狱企业证明材料</w:t>
      </w:r>
      <w:r>
        <w:tab/>
      </w:r>
      <w:r>
        <w:fldChar w:fldCharType="begin"/>
      </w:r>
      <w:r>
        <w:instrText xml:space="preserve"> PAGEREF _Toc26639 \h </w:instrText>
      </w:r>
      <w:r>
        <w:fldChar w:fldCharType="separate"/>
      </w:r>
      <w:r>
        <w:t>54</w:t>
      </w:r>
      <w:r>
        <w:fldChar w:fldCharType="end"/>
      </w:r>
      <w:r>
        <w:rPr>
          <w:rFonts w:eastAsia="仿宋"/>
          <w:color w:val="auto"/>
          <w:highlight w:val="none"/>
        </w:rPr>
        <w:fldChar w:fldCharType="end"/>
      </w:r>
    </w:p>
    <w:p w14:paraId="49D87BD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_Toc5719 </w:instrText>
      </w:r>
      <w:r>
        <w:rPr>
          <w:rFonts w:eastAsia="仿宋"/>
          <w:highlight w:val="none"/>
        </w:rPr>
        <w:fldChar w:fldCharType="separate"/>
      </w:r>
      <w:r>
        <w:rPr>
          <w:rFonts w:hint="eastAsia" w:ascii="宋体" w:hAnsi="宋体" w:eastAsia="宋体"/>
          <w:szCs w:val="28"/>
          <w:highlight w:val="none"/>
        </w:rPr>
        <w:t>格式18：其他</w:t>
      </w:r>
      <w:r>
        <w:tab/>
      </w:r>
      <w:r>
        <w:fldChar w:fldCharType="begin"/>
      </w:r>
      <w:r>
        <w:instrText xml:space="preserve"> PAGEREF _Toc5719 \h </w:instrText>
      </w:r>
      <w:r>
        <w:fldChar w:fldCharType="separate"/>
      </w:r>
      <w:r>
        <w:t>55</w:t>
      </w:r>
      <w:r>
        <w:fldChar w:fldCharType="end"/>
      </w:r>
      <w:r>
        <w:rPr>
          <w:rFonts w:eastAsia="仿宋"/>
          <w:color w:val="auto"/>
          <w:highlight w:val="none"/>
        </w:rPr>
        <w:fldChar w:fldCharType="end"/>
      </w:r>
    </w:p>
    <w:p w14:paraId="66EDAA06">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_Toc32120 </w:instrText>
      </w:r>
      <w:r>
        <w:rPr>
          <w:rFonts w:eastAsia="仿宋"/>
          <w:highlight w:val="none"/>
        </w:rPr>
        <w:fldChar w:fldCharType="separate"/>
      </w:r>
      <w:r>
        <w:rPr>
          <w:rFonts w:hint="eastAsia" w:ascii="宋体" w:hAnsi="宋体" w:eastAsia="宋体" w:cs="宋体"/>
          <w:szCs w:val="32"/>
          <w:highlight w:val="none"/>
        </w:rPr>
        <w:t xml:space="preserve">第五章 </w:t>
      </w:r>
      <w:r>
        <w:rPr>
          <w:rFonts w:ascii="宋体" w:hAnsi="宋体" w:eastAsia="宋体" w:cs="宋体"/>
          <w:szCs w:val="32"/>
          <w:highlight w:val="none"/>
        </w:rPr>
        <w:t xml:space="preserve"> </w:t>
      </w:r>
      <w:r>
        <w:rPr>
          <w:rFonts w:hint="eastAsia" w:ascii="宋体" w:hAnsi="宋体" w:eastAsia="宋体" w:cs="宋体"/>
          <w:szCs w:val="32"/>
          <w:highlight w:val="none"/>
        </w:rPr>
        <w:t>招标内容及要求</w:t>
      </w:r>
      <w:r>
        <w:tab/>
      </w:r>
      <w:r>
        <w:fldChar w:fldCharType="begin"/>
      </w:r>
      <w:r>
        <w:instrText xml:space="preserve"> PAGEREF _Toc32120 \h </w:instrText>
      </w:r>
      <w:r>
        <w:fldChar w:fldCharType="separate"/>
      </w:r>
      <w:r>
        <w:t>56</w:t>
      </w:r>
      <w:r>
        <w:fldChar w:fldCharType="end"/>
      </w:r>
      <w:r>
        <w:rPr>
          <w:rFonts w:eastAsia="仿宋"/>
          <w:color w:val="auto"/>
          <w:highlight w:val="none"/>
        </w:rPr>
        <w:fldChar w:fldCharType="end"/>
      </w:r>
    </w:p>
    <w:p w14:paraId="6671662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_Toc10334 </w:instrText>
      </w:r>
      <w:r>
        <w:rPr>
          <w:rFonts w:eastAsia="仿宋"/>
          <w:highlight w:val="none"/>
        </w:rPr>
        <w:fldChar w:fldCharType="separate"/>
      </w:r>
      <w:r>
        <w:rPr>
          <w:rFonts w:hint="eastAsia" w:ascii="宋体" w:hAnsi="宋体" w:eastAsia="宋体" w:cs="宋体"/>
          <w:szCs w:val="24"/>
          <w:lang w:val="en-US" w:eastAsia="zh-CN"/>
        </w:rPr>
        <w:t xml:space="preserve">1、 </w:t>
      </w:r>
      <w:r>
        <w:rPr>
          <w:rFonts w:hint="eastAsia" w:ascii="宋体" w:hAnsi="宋体" w:eastAsia="宋体" w:cs="宋体"/>
          <w:szCs w:val="24"/>
          <w:highlight w:val="none"/>
          <w:lang w:val="en-US" w:eastAsia="zh-CN"/>
        </w:rPr>
        <w:t>无人机</w:t>
      </w:r>
      <w:r>
        <w:tab/>
      </w:r>
      <w:r>
        <w:fldChar w:fldCharType="begin"/>
      </w:r>
      <w:r>
        <w:instrText xml:space="preserve"> PAGEREF _Toc10334 \h </w:instrText>
      </w:r>
      <w:r>
        <w:fldChar w:fldCharType="separate"/>
      </w:r>
      <w:r>
        <w:t>57</w:t>
      </w:r>
      <w:r>
        <w:fldChar w:fldCharType="end"/>
      </w:r>
      <w:r>
        <w:rPr>
          <w:rFonts w:eastAsia="仿宋"/>
          <w:color w:val="auto"/>
          <w:highlight w:val="none"/>
        </w:rPr>
        <w:fldChar w:fldCharType="end"/>
      </w:r>
    </w:p>
    <w:p w14:paraId="31F1A79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_Toc9282 </w:instrText>
      </w:r>
      <w:r>
        <w:rPr>
          <w:rFonts w:eastAsia="仿宋"/>
          <w:highlight w:val="none"/>
        </w:rPr>
        <w:fldChar w:fldCharType="separate"/>
      </w:r>
      <w:r>
        <w:rPr>
          <w:rFonts w:hint="eastAsia" w:ascii="宋体" w:hAnsi="宋体" w:eastAsia="宋体" w:cs="宋体"/>
          <w:szCs w:val="24"/>
          <w:lang w:val="en-US" w:eastAsia="zh-CN"/>
        </w:rPr>
        <w:t xml:space="preserve">2、 </w:t>
      </w:r>
      <w:r>
        <w:rPr>
          <w:rFonts w:hint="eastAsia" w:ascii="宋体" w:hAnsi="宋体" w:eastAsia="宋体" w:cs="宋体"/>
          <w:szCs w:val="24"/>
          <w:highlight w:val="none"/>
          <w:lang w:val="en-US" w:eastAsia="zh-CN"/>
        </w:rPr>
        <w:t>全自动降水采样器</w:t>
      </w:r>
      <w:r>
        <w:tab/>
      </w:r>
      <w:r>
        <w:fldChar w:fldCharType="begin"/>
      </w:r>
      <w:r>
        <w:instrText xml:space="preserve"> PAGEREF _Toc9282 \h </w:instrText>
      </w:r>
      <w:r>
        <w:fldChar w:fldCharType="separate"/>
      </w:r>
      <w:r>
        <w:t>58</w:t>
      </w:r>
      <w:r>
        <w:fldChar w:fldCharType="end"/>
      </w:r>
      <w:r>
        <w:rPr>
          <w:rFonts w:eastAsia="仿宋"/>
          <w:color w:val="auto"/>
          <w:highlight w:val="none"/>
        </w:rPr>
        <w:fldChar w:fldCharType="end"/>
      </w:r>
    </w:p>
    <w:p w14:paraId="49AB884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_Toc8834 </w:instrText>
      </w:r>
      <w:r>
        <w:rPr>
          <w:rFonts w:eastAsia="仿宋"/>
          <w:highlight w:val="none"/>
        </w:rPr>
        <w:fldChar w:fldCharType="separate"/>
      </w:r>
      <w:r>
        <w:rPr>
          <w:rFonts w:hint="eastAsia" w:ascii="宋体" w:hAnsi="宋体" w:eastAsia="宋体" w:cs="宋体"/>
          <w:szCs w:val="24"/>
          <w:lang w:val="en-US" w:eastAsia="zh-CN"/>
        </w:rPr>
        <w:t xml:space="preserve">3、 </w:t>
      </w:r>
      <w:r>
        <w:rPr>
          <w:rFonts w:hint="eastAsia" w:ascii="宋体" w:hAnsi="宋体" w:eastAsia="宋体" w:cs="宋体"/>
          <w:szCs w:val="24"/>
          <w:highlight w:val="none"/>
          <w:lang w:val="en-US" w:eastAsia="zh-CN"/>
        </w:rPr>
        <w:t>便携式傅里叶红外气体分析仪</w:t>
      </w:r>
      <w:r>
        <w:tab/>
      </w:r>
      <w:r>
        <w:fldChar w:fldCharType="begin"/>
      </w:r>
      <w:r>
        <w:instrText xml:space="preserve"> PAGEREF _Toc8834 \h </w:instrText>
      </w:r>
      <w:r>
        <w:fldChar w:fldCharType="separate"/>
      </w:r>
      <w:r>
        <w:t>59</w:t>
      </w:r>
      <w:r>
        <w:fldChar w:fldCharType="end"/>
      </w:r>
      <w:r>
        <w:rPr>
          <w:rFonts w:eastAsia="仿宋"/>
          <w:color w:val="auto"/>
          <w:highlight w:val="none"/>
        </w:rPr>
        <w:fldChar w:fldCharType="end"/>
      </w:r>
    </w:p>
    <w:p w14:paraId="0F7CFDA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_Toc23272 </w:instrText>
      </w:r>
      <w:r>
        <w:rPr>
          <w:rFonts w:eastAsia="仿宋"/>
          <w:highlight w:val="none"/>
        </w:rPr>
        <w:fldChar w:fldCharType="separate"/>
      </w:r>
      <w:r>
        <w:rPr>
          <w:rFonts w:hint="eastAsia" w:ascii="宋体" w:hAnsi="宋体" w:eastAsia="宋体" w:cs="宋体"/>
          <w:szCs w:val="24"/>
          <w:lang w:val="en-US" w:eastAsia="zh-CN"/>
        </w:rPr>
        <w:t xml:space="preserve">4、 </w:t>
      </w:r>
      <w:r>
        <w:rPr>
          <w:rFonts w:hint="eastAsia" w:ascii="宋体" w:hAnsi="宋体" w:eastAsia="宋体" w:cs="宋体"/>
          <w:szCs w:val="24"/>
          <w:highlight w:val="none"/>
          <w:lang w:val="en-US" w:eastAsia="zh-CN"/>
        </w:rPr>
        <w:t>烟尘烟气分析仪</w:t>
      </w:r>
      <w:r>
        <w:tab/>
      </w:r>
      <w:r>
        <w:fldChar w:fldCharType="begin"/>
      </w:r>
      <w:r>
        <w:instrText xml:space="preserve"> PAGEREF _Toc23272 \h </w:instrText>
      </w:r>
      <w:r>
        <w:fldChar w:fldCharType="separate"/>
      </w:r>
      <w:r>
        <w:t>62</w:t>
      </w:r>
      <w:r>
        <w:fldChar w:fldCharType="end"/>
      </w:r>
      <w:r>
        <w:rPr>
          <w:rFonts w:eastAsia="仿宋"/>
          <w:color w:val="auto"/>
          <w:highlight w:val="none"/>
        </w:rPr>
        <w:fldChar w:fldCharType="end"/>
      </w:r>
    </w:p>
    <w:p w14:paraId="10D556D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_Toc15729 </w:instrText>
      </w:r>
      <w:r>
        <w:rPr>
          <w:rFonts w:eastAsia="仿宋"/>
          <w:highlight w:val="none"/>
        </w:rPr>
        <w:fldChar w:fldCharType="separate"/>
      </w:r>
      <w:r>
        <w:rPr>
          <w:rFonts w:hint="eastAsia" w:ascii="宋体" w:hAnsi="宋体" w:eastAsia="宋体" w:cs="宋体"/>
          <w:szCs w:val="24"/>
          <w:lang w:val="en-US" w:eastAsia="zh-CN"/>
        </w:rPr>
        <w:t xml:space="preserve">5、 </w:t>
      </w:r>
      <w:r>
        <w:rPr>
          <w:rFonts w:hint="eastAsia" w:ascii="宋体" w:hAnsi="宋体" w:eastAsia="宋体" w:cs="宋体"/>
          <w:szCs w:val="24"/>
          <w:highlight w:val="none"/>
          <w:lang w:val="en-US" w:eastAsia="zh-CN"/>
        </w:rPr>
        <w:t>便携式多气体检测仪</w:t>
      </w:r>
      <w:r>
        <w:tab/>
      </w:r>
      <w:r>
        <w:fldChar w:fldCharType="begin"/>
      </w:r>
      <w:r>
        <w:instrText xml:space="preserve"> PAGEREF _Toc15729 \h </w:instrText>
      </w:r>
      <w:r>
        <w:fldChar w:fldCharType="separate"/>
      </w:r>
      <w:r>
        <w:t>64</w:t>
      </w:r>
      <w:r>
        <w:fldChar w:fldCharType="end"/>
      </w:r>
      <w:r>
        <w:rPr>
          <w:rFonts w:eastAsia="仿宋"/>
          <w:color w:val="auto"/>
          <w:highlight w:val="none"/>
        </w:rPr>
        <w:fldChar w:fldCharType="end"/>
      </w:r>
    </w:p>
    <w:p w14:paraId="61E5C2A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_Toc17178 </w:instrText>
      </w:r>
      <w:r>
        <w:rPr>
          <w:rFonts w:eastAsia="仿宋"/>
          <w:highlight w:val="none"/>
        </w:rPr>
        <w:fldChar w:fldCharType="separate"/>
      </w:r>
      <w:r>
        <w:rPr>
          <w:rFonts w:hint="eastAsia" w:ascii="宋体" w:hAnsi="宋体" w:eastAsia="宋体" w:cs="宋体"/>
          <w:szCs w:val="24"/>
          <w:lang w:val="en-US" w:eastAsia="zh-CN"/>
        </w:rPr>
        <w:t xml:space="preserve">6、 </w:t>
      </w:r>
      <w:r>
        <w:rPr>
          <w:rFonts w:hint="eastAsia" w:ascii="宋体" w:hAnsi="宋体" w:eastAsia="宋体" w:cs="宋体"/>
          <w:szCs w:val="24"/>
          <w:highlight w:val="none"/>
          <w:lang w:val="en-US" w:eastAsia="zh-CN"/>
        </w:rPr>
        <w:t>多气路环境空气采样器</w:t>
      </w:r>
      <w:r>
        <w:tab/>
      </w:r>
      <w:r>
        <w:fldChar w:fldCharType="begin"/>
      </w:r>
      <w:r>
        <w:instrText xml:space="preserve"> PAGEREF _Toc17178 \h </w:instrText>
      </w:r>
      <w:r>
        <w:fldChar w:fldCharType="separate"/>
      </w:r>
      <w:r>
        <w:t>65</w:t>
      </w:r>
      <w:r>
        <w:fldChar w:fldCharType="end"/>
      </w:r>
      <w:r>
        <w:rPr>
          <w:rFonts w:eastAsia="仿宋"/>
          <w:color w:val="auto"/>
          <w:highlight w:val="none"/>
        </w:rPr>
        <w:fldChar w:fldCharType="end"/>
      </w:r>
    </w:p>
    <w:p w14:paraId="2D4B79A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_Toc30978 </w:instrText>
      </w:r>
      <w:r>
        <w:rPr>
          <w:rFonts w:eastAsia="仿宋"/>
          <w:highlight w:val="none"/>
        </w:rPr>
        <w:fldChar w:fldCharType="separate"/>
      </w:r>
      <w:r>
        <w:rPr>
          <w:rFonts w:hint="eastAsia" w:ascii="宋体" w:hAnsi="宋体" w:eastAsia="宋体" w:cs="宋体"/>
          <w:szCs w:val="24"/>
          <w:lang w:val="en-US" w:eastAsia="zh-CN"/>
        </w:rPr>
        <w:t xml:space="preserve">7、 </w:t>
      </w:r>
      <w:r>
        <w:rPr>
          <w:rFonts w:hint="eastAsia" w:ascii="宋体" w:hAnsi="宋体" w:eastAsia="宋体" w:cs="宋体"/>
          <w:szCs w:val="24"/>
          <w:highlight w:val="none"/>
          <w:lang w:val="en-US" w:eastAsia="zh-CN"/>
        </w:rPr>
        <w:t>便携式流量压力综合校准装置</w:t>
      </w:r>
      <w:r>
        <w:tab/>
      </w:r>
      <w:r>
        <w:fldChar w:fldCharType="begin"/>
      </w:r>
      <w:r>
        <w:instrText xml:space="preserve"> PAGEREF _Toc30978 \h </w:instrText>
      </w:r>
      <w:r>
        <w:fldChar w:fldCharType="separate"/>
      </w:r>
      <w:r>
        <w:t>67</w:t>
      </w:r>
      <w:r>
        <w:fldChar w:fldCharType="end"/>
      </w:r>
      <w:r>
        <w:rPr>
          <w:rFonts w:eastAsia="仿宋"/>
          <w:color w:val="auto"/>
          <w:highlight w:val="none"/>
        </w:rPr>
        <w:fldChar w:fldCharType="end"/>
      </w:r>
    </w:p>
    <w:p w14:paraId="075ECC6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_Toc22159 </w:instrText>
      </w:r>
      <w:r>
        <w:rPr>
          <w:rFonts w:eastAsia="仿宋"/>
          <w:highlight w:val="none"/>
        </w:rPr>
        <w:fldChar w:fldCharType="separate"/>
      </w:r>
      <w:r>
        <w:rPr>
          <w:rFonts w:ascii="宋体" w:hAnsi="宋体" w:cs="Arial"/>
          <w:bCs/>
          <w:kern w:val="0"/>
        </w:rPr>
        <w:t xml:space="preserve">8、 </w:t>
      </w:r>
      <w:r>
        <w:rPr>
          <w:rFonts w:hint="eastAsia" w:ascii="宋体" w:hAnsi="宋体" w:cs="Arial"/>
          <w:bCs/>
          <w:kern w:val="0"/>
          <w:highlight w:val="none"/>
        </w:rPr>
        <w:t>动态气体配气仪</w:t>
      </w:r>
      <w:r>
        <w:tab/>
      </w:r>
      <w:r>
        <w:fldChar w:fldCharType="begin"/>
      </w:r>
      <w:r>
        <w:instrText xml:space="preserve"> PAGEREF _Toc22159 \h </w:instrText>
      </w:r>
      <w:r>
        <w:fldChar w:fldCharType="separate"/>
      </w:r>
      <w:r>
        <w:t>68</w:t>
      </w:r>
      <w:r>
        <w:fldChar w:fldCharType="end"/>
      </w:r>
      <w:r>
        <w:rPr>
          <w:rFonts w:eastAsia="仿宋"/>
          <w:color w:val="auto"/>
          <w:highlight w:val="none"/>
        </w:rPr>
        <w:fldChar w:fldCharType="end"/>
      </w:r>
    </w:p>
    <w:p w14:paraId="413C3D4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_Toc1102 </w:instrText>
      </w:r>
      <w:r>
        <w:rPr>
          <w:rFonts w:eastAsia="仿宋"/>
          <w:highlight w:val="none"/>
        </w:rPr>
        <w:fldChar w:fldCharType="separate"/>
      </w:r>
      <w:r>
        <w:rPr>
          <w:rFonts w:ascii="宋体" w:hAnsi="宋体" w:cs="宋体"/>
        </w:rPr>
        <w:t xml:space="preserve">9、 </w:t>
      </w:r>
      <w:r>
        <w:rPr>
          <w:rFonts w:hint="eastAsia" w:ascii="宋体" w:hAnsi="宋体" w:cs="Arial"/>
          <w:bCs/>
          <w:kern w:val="0"/>
          <w:highlight w:val="none"/>
        </w:rPr>
        <w:t>紫外烟气分析仪</w:t>
      </w:r>
      <w:r>
        <w:tab/>
      </w:r>
      <w:r>
        <w:fldChar w:fldCharType="begin"/>
      </w:r>
      <w:r>
        <w:instrText xml:space="preserve"> PAGEREF _Toc1102 \h </w:instrText>
      </w:r>
      <w:r>
        <w:fldChar w:fldCharType="separate"/>
      </w:r>
      <w:r>
        <w:t>69</w:t>
      </w:r>
      <w:r>
        <w:fldChar w:fldCharType="end"/>
      </w:r>
      <w:r>
        <w:rPr>
          <w:rFonts w:eastAsia="仿宋"/>
          <w:color w:val="auto"/>
          <w:highlight w:val="none"/>
        </w:rPr>
        <w:fldChar w:fldCharType="end"/>
      </w:r>
    </w:p>
    <w:p w14:paraId="0496036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_Toc6989 </w:instrText>
      </w:r>
      <w:r>
        <w:rPr>
          <w:rFonts w:eastAsia="仿宋"/>
          <w:highlight w:val="none"/>
        </w:rPr>
        <w:fldChar w:fldCharType="separate"/>
      </w:r>
      <w:r>
        <w:rPr>
          <w:rFonts w:hint="eastAsia" w:ascii="宋体" w:hAnsi="宋体" w:eastAsia="宋体" w:cs="宋体"/>
          <w:szCs w:val="24"/>
          <w:lang w:val="en-US" w:eastAsia="zh-CN"/>
        </w:rPr>
        <w:t xml:space="preserve">10、 </w:t>
      </w:r>
      <w:r>
        <w:rPr>
          <w:rFonts w:hint="eastAsia" w:ascii="宋体" w:hAnsi="宋体" w:eastAsia="宋体" w:cs="宋体"/>
          <w:szCs w:val="24"/>
          <w:highlight w:val="none"/>
          <w:lang w:val="en-US" w:eastAsia="zh-CN"/>
        </w:rPr>
        <w:t>生物毒性检测仪</w:t>
      </w:r>
      <w:r>
        <w:tab/>
      </w:r>
      <w:r>
        <w:fldChar w:fldCharType="begin"/>
      </w:r>
      <w:r>
        <w:instrText xml:space="preserve"> PAGEREF _Toc6989 \h </w:instrText>
      </w:r>
      <w:r>
        <w:fldChar w:fldCharType="separate"/>
      </w:r>
      <w:r>
        <w:t>70</w:t>
      </w:r>
      <w:r>
        <w:fldChar w:fldCharType="end"/>
      </w:r>
      <w:r>
        <w:rPr>
          <w:rFonts w:eastAsia="仿宋"/>
          <w:color w:val="auto"/>
          <w:highlight w:val="none"/>
        </w:rPr>
        <w:fldChar w:fldCharType="end"/>
      </w:r>
    </w:p>
    <w:p w14:paraId="5D7AE90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_Toc23368 </w:instrText>
      </w:r>
      <w:r>
        <w:rPr>
          <w:rFonts w:eastAsia="仿宋"/>
          <w:highlight w:val="none"/>
        </w:rPr>
        <w:fldChar w:fldCharType="separate"/>
      </w:r>
      <w:r>
        <w:rPr>
          <w:rFonts w:hint="eastAsia" w:ascii="宋体" w:hAnsi="宋体" w:eastAsia="宋体" w:cs="宋体"/>
          <w:szCs w:val="24"/>
          <w:lang w:val="en-US" w:eastAsia="zh-CN"/>
        </w:rPr>
        <w:t xml:space="preserve">11、 </w:t>
      </w:r>
      <w:r>
        <w:rPr>
          <w:rFonts w:hint="eastAsia" w:ascii="宋体" w:hAnsi="宋体" w:eastAsia="宋体" w:cs="宋体"/>
          <w:szCs w:val="24"/>
          <w:highlight w:val="none"/>
          <w:lang w:val="en-US" w:eastAsia="zh-CN"/>
        </w:rPr>
        <w:t>便携式X射线荧光光谱仪</w:t>
      </w:r>
      <w:r>
        <w:tab/>
      </w:r>
      <w:r>
        <w:fldChar w:fldCharType="begin"/>
      </w:r>
      <w:r>
        <w:instrText xml:space="preserve"> PAGEREF _Toc23368 \h </w:instrText>
      </w:r>
      <w:r>
        <w:fldChar w:fldCharType="separate"/>
      </w:r>
      <w:r>
        <w:t>71</w:t>
      </w:r>
      <w:r>
        <w:fldChar w:fldCharType="end"/>
      </w:r>
      <w:r>
        <w:rPr>
          <w:rFonts w:eastAsia="仿宋"/>
          <w:color w:val="auto"/>
          <w:highlight w:val="none"/>
        </w:rPr>
        <w:fldChar w:fldCharType="end"/>
      </w:r>
    </w:p>
    <w:p w14:paraId="2FC796F7">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_Toc7009 </w:instrText>
      </w:r>
      <w:r>
        <w:rPr>
          <w:rFonts w:eastAsia="仿宋"/>
          <w:highlight w:val="none"/>
        </w:rPr>
        <w:fldChar w:fldCharType="separate"/>
      </w:r>
      <w:r>
        <w:rPr>
          <w:rFonts w:hint="eastAsia" w:ascii="宋体" w:hAnsi="宋体" w:eastAsia="宋体" w:cs="宋体"/>
          <w:szCs w:val="40"/>
          <w:highlight w:val="none"/>
        </w:rPr>
        <w:t>第六章  评标办法（综合评分法）</w:t>
      </w:r>
      <w:r>
        <w:tab/>
      </w:r>
      <w:r>
        <w:fldChar w:fldCharType="begin"/>
      </w:r>
      <w:r>
        <w:instrText xml:space="preserve"> PAGEREF _Toc7009 \h </w:instrText>
      </w:r>
      <w:r>
        <w:fldChar w:fldCharType="separate"/>
      </w:r>
      <w:r>
        <w:t>74</w:t>
      </w:r>
      <w: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10969"/>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28359079"/>
      <w:bookmarkStart w:id="2" w:name="_Toc35393790"/>
      <w:bookmarkStart w:id="3" w:name="_Toc28359002"/>
      <w:bookmarkStart w:id="4" w:name="_Toc35393621"/>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35393622"/>
      <w:bookmarkStart w:id="7" w:name="_Toc28359003"/>
      <w:bookmarkStart w:id="8" w:name="_Toc28359080"/>
      <w:bookmarkStart w:id="9" w:name="_Toc35393791"/>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35393623"/>
      <w:bookmarkStart w:id="11" w:name="_Toc35393792"/>
      <w:bookmarkStart w:id="12" w:name="_Toc28359081"/>
      <w:bookmarkStart w:id="13" w:name="_Toc28359004"/>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28359085"/>
      <w:bookmarkStart w:id="15" w:name="_Toc35393627"/>
      <w:bookmarkStart w:id="16" w:name="_Toc28359008"/>
      <w:bookmarkStart w:id="17" w:name="_Toc35393796"/>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05"/>
      <w:bookmarkStart w:id="19" w:name="_Toc28359082"/>
      <w:bookmarkStart w:id="20" w:name="_Toc35393624"/>
      <w:bookmarkStart w:id="21" w:name="_Toc35393793"/>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35393625"/>
      <w:bookmarkStart w:id="23" w:name="_Toc28359007"/>
      <w:bookmarkStart w:id="24" w:name="_Toc28359084"/>
      <w:bookmarkStart w:id="25" w:name="_Toc35393794"/>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626"/>
      <w:bookmarkStart w:id="27" w:name="_Toc35393795"/>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86"/>
      <w:bookmarkStart w:id="29" w:name="_Toc28359009"/>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10"/>
      <w:bookmarkStart w:id="31" w:name="_Toc28359087"/>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4826"/>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7标段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32914855">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7</w:t>
            </w:r>
            <w:r>
              <w:rPr>
                <w:rFonts w:hint="eastAsia" w:hAnsi="宋体"/>
                <w:color w:val="auto"/>
                <w:kern w:val="18"/>
                <w:sz w:val="24"/>
                <w:highlight w:val="none"/>
              </w:rPr>
              <w:t>标段：金额为</w:t>
            </w:r>
            <w:r>
              <w:rPr>
                <w:rFonts w:hint="eastAsia" w:hAnsi="宋体"/>
                <w:color w:val="auto"/>
                <w:kern w:val="18"/>
                <w:sz w:val="24"/>
                <w:highlight w:val="none"/>
                <w:lang w:val="en-US" w:eastAsia="zh-CN"/>
              </w:rPr>
              <w:t>74300</w:t>
            </w:r>
            <w:r>
              <w:rPr>
                <w:rFonts w:hint="eastAsia" w:hAnsi="宋体"/>
                <w:color w:val="auto"/>
                <w:kern w:val="18"/>
                <w:sz w:val="24"/>
                <w:highlight w:val="none"/>
              </w:rPr>
              <w:t>元,由中标人在领取中标通知书时一次性向招标代理机构支付。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7标段</w:t>
            </w:r>
            <w:r>
              <w:rPr>
                <w:rFonts w:hint="eastAsia" w:ascii="宋体" w:hAnsi="宋体"/>
                <w:bCs/>
                <w:color w:val="auto"/>
                <w:sz w:val="24"/>
                <w:highlight w:val="none"/>
              </w:rPr>
              <w:t>：</w:t>
            </w:r>
            <w:r>
              <w:rPr>
                <w:rFonts w:hint="eastAsia" w:ascii="宋体" w:hAnsi="宋体"/>
                <w:color w:val="auto"/>
                <w:sz w:val="24"/>
                <w:highlight w:val="none"/>
                <w:lang w:val="en-US" w:eastAsia="zh-CN"/>
              </w:rPr>
              <w:t>57000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7标段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7标段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573万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5980"/>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21042"/>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3789"/>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32535"/>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13209"/>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24287"/>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14298"/>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15602"/>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23618"/>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5752"/>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29584"/>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31882"/>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30343"/>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10431"/>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21692"/>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4396"/>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20662"/>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21273"/>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27193"/>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9073"/>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12207"/>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2102"/>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22537"/>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10439"/>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20632"/>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15092"/>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1700"/>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12981"/>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13010"/>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20609"/>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23696"/>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2937"/>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15915"/>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32192"/>
      <w:bookmarkStart w:id="69" w:name="_Toc25333"/>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13874"/>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27829"/>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6485"/>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5103"/>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4068"/>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20778"/>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17559"/>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134"/>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9"/>
      <w:bookmarkEnd w:id="83"/>
      <w:bookmarkStart w:id="84" w:name="bookmark78"/>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blPrEx>
          <w:tblCellMar>
            <w:top w:w="0" w:type="dxa"/>
            <w:left w:w="0" w:type="dxa"/>
            <w:bottom w:w="0" w:type="dxa"/>
            <w:right w:w="0" w:type="dxa"/>
          </w:tblCellMar>
        </w:tblPrEx>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5704"/>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5059"/>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19650"/>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7标段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76964464"/>
            <w:bookmarkStart w:id="91" w:name="_Toc327178025"/>
            <w:bookmarkStart w:id="92" w:name="_Toc326740417"/>
            <w:bookmarkStart w:id="93" w:name="_Toc29181"/>
            <w:bookmarkStart w:id="94" w:name="_Toc19192"/>
            <w:bookmarkStart w:id="95" w:name="_Toc472594292"/>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1122"/>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150703258"/>
      <w:bookmarkStart w:id="98" w:name="_Toc525998713"/>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4315"/>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32725"/>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10855"/>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26146"/>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23245"/>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13989"/>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8519"/>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9170"/>
      <w:bookmarkStart w:id="108" w:name="_Toc150703259"/>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24080"/>
      <w:bookmarkStart w:id="110" w:name="_Toc525998715"/>
      <w:bookmarkStart w:id="111" w:name="_Toc150703260"/>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3627"/>
      <w:bookmarkStart w:id="113" w:name="_Toc150703261"/>
      <w:bookmarkStart w:id="114" w:name="_Toc24148"/>
      <w:bookmarkStart w:id="115" w:name="_Toc89164899"/>
      <w:bookmarkStart w:id="116" w:name="_Toc96259140"/>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13323"/>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7178019"/>
      <w:bookmarkStart w:id="121" w:name="_Toc326740410"/>
      <w:bookmarkStart w:id="122" w:name="_Toc525998717"/>
      <w:bookmarkStart w:id="123" w:name="_Toc150703263"/>
      <w:bookmarkStart w:id="124" w:name="_Toc26567"/>
      <w:bookmarkStart w:id="125" w:name="_Toc430197656"/>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6741"/>
      <w:bookmarkStart w:id="127" w:name="_Toc31715"/>
      <w:bookmarkStart w:id="128" w:name="_Toc150703264"/>
      <w:bookmarkStart w:id="129" w:name="_Toc17583"/>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22838"/>
      <w:bookmarkStart w:id="131" w:name="_Toc13664"/>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19733"/>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11244"/>
      <w:bookmarkStart w:id="136" w:name="_Toc28560"/>
      <w:bookmarkStart w:id="137" w:name="_Toc53"/>
      <w:bookmarkStart w:id="138" w:name="_Toc96259148"/>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含有所投标核心产品之一的供货业绩，金额不限；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2547"/>
      <w:bookmarkStart w:id="141" w:name="_Toc15340"/>
      <w:bookmarkStart w:id="142" w:name="_Toc17609"/>
      <w:bookmarkStart w:id="143" w:name="_Toc29687"/>
      <w:bookmarkStart w:id="144" w:name="_Toc6114"/>
      <w:bookmarkStart w:id="145" w:name="_Toc3501"/>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21601"/>
      <w:bookmarkStart w:id="149" w:name="_Toc7011"/>
      <w:bookmarkStart w:id="150" w:name="_Toc302"/>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17452"/>
      <w:bookmarkStart w:id="152" w:name="_Toc4726"/>
      <w:bookmarkStart w:id="153" w:name="_Toc109651442"/>
      <w:bookmarkStart w:id="154" w:name="_Toc32563"/>
      <w:bookmarkStart w:id="155" w:name="_Toc26639"/>
      <w:bookmarkStart w:id="156" w:name="_Toc5763"/>
      <w:bookmarkStart w:id="157" w:name="_Toc3858"/>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5719"/>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32120"/>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7标段</w:t>
      </w:r>
      <w:r>
        <w:rPr>
          <w:rFonts w:hint="eastAsia" w:ascii="宋体" w:hAnsi="宋体" w:eastAsia="宋体" w:cs="宋体"/>
          <w:b/>
          <w:color w:val="auto"/>
          <w:kern w:val="0"/>
          <w:sz w:val="24"/>
          <w:szCs w:val="24"/>
          <w:highlight w:val="none"/>
          <w:lang w:val="en-US" w:eastAsia="zh-CN" w:bidi="ar-SA"/>
        </w:rPr>
        <w:t>：预算金额5</w:t>
      </w:r>
      <w:r>
        <w:rPr>
          <w:rFonts w:hint="eastAsia" w:ascii="宋体" w:hAnsi="宋体" w:cs="宋体"/>
          <w:b/>
          <w:color w:val="auto"/>
          <w:kern w:val="0"/>
          <w:sz w:val="24"/>
          <w:szCs w:val="24"/>
          <w:highlight w:val="none"/>
          <w:lang w:val="en-US" w:eastAsia="zh-CN" w:bidi="ar-SA"/>
        </w:rPr>
        <w:t>73</w:t>
      </w:r>
      <w:r>
        <w:rPr>
          <w:rFonts w:hint="eastAsia" w:ascii="宋体" w:hAnsi="宋体" w:eastAsia="宋体" w:cs="宋体"/>
          <w:b/>
          <w:color w:val="auto"/>
          <w:kern w:val="0"/>
          <w:sz w:val="24"/>
          <w:szCs w:val="24"/>
          <w:highlight w:val="none"/>
          <w:lang w:val="en-US" w:eastAsia="zh-CN" w:bidi="ar-SA"/>
        </w:rPr>
        <w:t>万元</w:t>
      </w:r>
      <w:r>
        <w:rPr>
          <w:rFonts w:hint="eastAsia" w:ascii="宋体" w:hAnsi="宋体" w:cs="宋体"/>
          <w:b/>
          <w:color w:val="auto"/>
          <w:kern w:val="0"/>
          <w:sz w:val="24"/>
          <w:szCs w:val="24"/>
          <w:highlight w:val="none"/>
          <w:lang w:val="en-US" w:eastAsia="zh-CN" w:bidi="ar-SA"/>
        </w:rPr>
        <w:t>，核心产品为：便携式傅里叶红外气体分析仪、便携式X射线荧光光谱仪</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0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6C41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5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9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22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DD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F1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DE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6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C0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B54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07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DE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1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40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C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B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98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EE70">
            <w:pPr>
              <w:jc w:val="center"/>
              <w:rPr>
                <w:rFonts w:hint="eastAsia" w:ascii="宋体" w:hAnsi="宋体" w:eastAsia="宋体" w:cs="宋体"/>
                <w:i w:val="0"/>
                <w:iCs w:val="0"/>
                <w:color w:val="auto"/>
                <w:sz w:val="20"/>
                <w:szCs w:val="20"/>
                <w:highlight w:val="none"/>
                <w:u w:val="none"/>
              </w:rPr>
            </w:pPr>
          </w:p>
        </w:tc>
      </w:tr>
      <w:tr w14:paraId="2543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89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89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2E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7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F7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1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01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E656">
            <w:pPr>
              <w:jc w:val="center"/>
              <w:rPr>
                <w:rFonts w:hint="eastAsia" w:ascii="宋体" w:hAnsi="宋体" w:eastAsia="宋体" w:cs="宋体"/>
                <w:i w:val="0"/>
                <w:iCs w:val="0"/>
                <w:color w:val="auto"/>
                <w:sz w:val="20"/>
                <w:szCs w:val="20"/>
                <w:highlight w:val="none"/>
                <w:u w:val="none"/>
              </w:rPr>
            </w:pPr>
          </w:p>
        </w:tc>
      </w:tr>
      <w:tr w14:paraId="1582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1F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1A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D9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53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20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C2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95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8B00B">
            <w:pPr>
              <w:jc w:val="center"/>
              <w:rPr>
                <w:rFonts w:hint="eastAsia" w:ascii="宋体" w:hAnsi="宋体" w:eastAsia="宋体" w:cs="宋体"/>
                <w:i w:val="0"/>
                <w:iCs w:val="0"/>
                <w:color w:val="auto"/>
                <w:sz w:val="20"/>
                <w:szCs w:val="20"/>
                <w:highlight w:val="none"/>
                <w:u w:val="none"/>
              </w:rPr>
            </w:pPr>
          </w:p>
        </w:tc>
      </w:tr>
      <w:tr w14:paraId="37A3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94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CA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B7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E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98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2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FF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884D6">
            <w:pPr>
              <w:jc w:val="center"/>
              <w:rPr>
                <w:rFonts w:hint="eastAsia" w:ascii="宋体" w:hAnsi="宋体" w:eastAsia="宋体" w:cs="宋体"/>
                <w:i w:val="0"/>
                <w:iCs w:val="0"/>
                <w:color w:val="auto"/>
                <w:sz w:val="20"/>
                <w:szCs w:val="20"/>
                <w:highlight w:val="none"/>
                <w:u w:val="none"/>
              </w:rPr>
            </w:pPr>
          </w:p>
        </w:tc>
      </w:tr>
      <w:tr w14:paraId="16E6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32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C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2D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CC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78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1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D0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CF37">
            <w:pPr>
              <w:jc w:val="center"/>
              <w:rPr>
                <w:rFonts w:hint="eastAsia" w:ascii="宋体" w:hAnsi="宋体" w:eastAsia="宋体" w:cs="宋体"/>
                <w:i w:val="0"/>
                <w:iCs w:val="0"/>
                <w:color w:val="auto"/>
                <w:sz w:val="20"/>
                <w:szCs w:val="20"/>
                <w:highlight w:val="none"/>
                <w:u w:val="none"/>
              </w:rPr>
            </w:pPr>
          </w:p>
        </w:tc>
      </w:tr>
      <w:tr w14:paraId="0A81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1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79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27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09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9C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49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5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3A3AE">
            <w:pPr>
              <w:jc w:val="center"/>
              <w:rPr>
                <w:rFonts w:hint="eastAsia" w:ascii="宋体" w:hAnsi="宋体" w:eastAsia="宋体" w:cs="宋体"/>
                <w:i w:val="0"/>
                <w:iCs w:val="0"/>
                <w:color w:val="auto"/>
                <w:sz w:val="20"/>
                <w:szCs w:val="20"/>
                <w:highlight w:val="none"/>
                <w:u w:val="none"/>
              </w:rPr>
            </w:pPr>
          </w:p>
        </w:tc>
      </w:tr>
      <w:tr w14:paraId="146A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D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D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B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E7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F5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C1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9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629C8">
            <w:pPr>
              <w:jc w:val="center"/>
              <w:rPr>
                <w:rFonts w:hint="eastAsia" w:ascii="宋体" w:hAnsi="宋体" w:eastAsia="宋体" w:cs="宋体"/>
                <w:i w:val="0"/>
                <w:iCs w:val="0"/>
                <w:color w:val="auto"/>
                <w:sz w:val="20"/>
                <w:szCs w:val="20"/>
                <w:highlight w:val="none"/>
                <w:u w:val="none"/>
              </w:rPr>
            </w:pPr>
          </w:p>
        </w:tc>
      </w:tr>
      <w:tr w14:paraId="7270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6B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F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D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E2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4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B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57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9A45">
            <w:pPr>
              <w:jc w:val="center"/>
              <w:rPr>
                <w:rFonts w:hint="eastAsia" w:ascii="宋体" w:hAnsi="宋体" w:eastAsia="宋体" w:cs="宋体"/>
                <w:i w:val="0"/>
                <w:iCs w:val="0"/>
                <w:color w:val="auto"/>
                <w:sz w:val="20"/>
                <w:szCs w:val="20"/>
                <w:highlight w:val="none"/>
                <w:u w:val="none"/>
              </w:rPr>
            </w:pPr>
          </w:p>
        </w:tc>
      </w:tr>
      <w:tr w14:paraId="5BAB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8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23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C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5A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F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9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FC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8C3A">
            <w:pPr>
              <w:jc w:val="center"/>
              <w:rPr>
                <w:rFonts w:hint="eastAsia" w:ascii="宋体" w:hAnsi="宋体" w:eastAsia="宋体" w:cs="宋体"/>
                <w:i w:val="0"/>
                <w:iCs w:val="0"/>
                <w:color w:val="auto"/>
                <w:sz w:val="20"/>
                <w:szCs w:val="20"/>
                <w:highlight w:val="none"/>
                <w:u w:val="none"/>
              </w:rPr>
            </w:pPr>
          </w:p>
        </w:tc>
      </w:tr>
      <w:tr w14:paraId="0176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AB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9B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B1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D1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A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2D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7C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E694">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3C4C4A97">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（15个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096228A3">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0" w:name="_Toc10334"/>
      <w:r>
        <w:rPr>
          <w:rFonts w:hint="eastAsia" w:ascii="宋体" w:hAnsi="宋体" w:eastAsia="宋体" w:cs="宋体"/>
          <w:color w:val="auto"/>
          <w:sz w:val="24"/>
          <w:szCs w:val="24"/>
          <w:highlight w:val="none"/>
          <w:lang w:val="en-US" w:eastAsia="zh-CN"/>
        </w:rPr>
        <w:t>无人机</w:t>
      </w:r>
      <w:bookmarkEnd w:id="160"/>
    </w:p>
    <w:p w14:paraId="62BA22D8">
      <w:pPr>
        <w:jc w:val="center"/>
        <w:rPr>
          <w:rFonts w:hint="eastAsia"/>
          <w:b/>
          <w:bCs/>
          <w:color w:val="auto"/>
          <w:highlight w:val="none"/>
        </w:rPr>
      </w:pPr>
    </w:p>
    <w:p w14:paraId="011CCF75">
      <w:pPr>
        <w:spacing w:line="480" w:lineRule="exact"/>
        <w:ind w:firstLine="482" w:firstLineChars="200"/>
        <w:outlineLvl w:val="9"/>
        <w:rPr>
          <w:rFonts w:hint="eastAsia" w:ascii="宋体" w:hAnsi="宋体" w:cs="宋体"/>
          <w:b/>
          <w:bCs/>
          <w:color w:val="auto"/>
          <w:sz w:val="24"/>
          <w:highlight w:val="none"/>
        </w:rPr>
      </w:pPr>
      <w:bookmarkStart w:id="161" w:name="_Toc10448"/>
      <w:r>
        <w:rPr>
          <w:rFonts w:hint="eastAsia" w:ascii="宋体" w:hAnsi="宋体" w:cs="宋体"/>
          <w:b/>
          <w:bCs/>
          <w:color w:val="auto"/>
          <w:sz w:val="24"/>
          <w:highlight w:val="none"/>
        </w:rPr>
        <w:t>一、基本要求</w:t>
      </w:r>
      <w:bookmarkEnd w:id="161"/>
    </w:p>
    <w:p w14:paraId="494F6E6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适用于污染源执法排查和应急监测等场景，配备常规摄像功能模块。</w:t>
      </w:r>
    </w:p>
    <w:p w14:paraId="074A65E5">
      <w:pPr>
        <w:spacing w:line="480" w:lineRule="exact"/>
        <w:ind w:firstLine="482" w:firstLineChars="200"/>
        <w:outlineLvl w:val="9"/>
        <w:rPr>
          <w:rFonts w:hint="eastAsia" w:ascii="宋体" w:hAnsi="宋体" w:cs="宋体"/>
          <w:b/>
          <w:bCs/>
          <w:color w:val="auto"/>
          <w:sz w:val="24"/>
          <w:highlight w:val="none"/>
        </w:rPr>
      </w:pPr>
      <w:bookmarkStart w:id="162" w:name="_Toc13316"/>
      <w:r>
        <w:rPr>
          <w:rFonts w:hint="eastAsia" w:ascii="宋体" w:hAnsi="宋体" w:cs="宋体"/>
          <w:b/>
          <w:bCs/>
          <w:color w:val="auto"/>
          <w:sz w:val="24"/>
          <w:highlight w:val="none"/>
        </w:rPr>
        <w:t>二、技术参数</w:t>
      </w:r>
      <w:bookmarkEnd w:id="162"/>
    </w:p>
    <w:p w14:paraId="4C33BB49">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 对称电机轴距≤400mm； </w:t>
      </w:r>
    </w:p>
    <w:p w14:paraId="77A4C917">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最大上升速度≥5m/s；</w:t>
      </w:r>
    </w:p>
    <w:p w14:paraId="07C374F0">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最大下降速度≥5m/s；</w:t>
      </w:r>
    </w:p>
    <w:p w14:paraId="7069DF25">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最大水平飞行速度≥15m/s；</w:t>
      </w:r>
    </w:p>
    <w:p w14:paraId="28A284FB">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最大抗风速度≥10 m/s；</w:t>
      </w:r>
    </w:p>
    <w:p w14:paraId="7DD4527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最大飞行时间≥30 min；</w:t>
      </w:r>
    </w:p>
    <w:p w14:paraId="556BC145">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最大飞行海拔高度≥3000m。</w:t>
      </w:r>
    </w:p>
    <w:p w14:paraId="21E25699">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2.2悬停精度：垂直：±0.5 m（视觉系统±0.1 m）、水平：±1.5 m（视觉系统±0.3 m）；</w:t>
      </w:r>
    </w:p>
    <w:p w14:paraId="0320FFF5">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有效载重不低于500克。</w:t>
      </w:r>
    </w:p>
    <w:p w14:paraId="2407FB59">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2.4便携可视遥控器，屏幕尺寸不低于4 英寸，续航时间至少大于2 小时。</w:t>
      </w:r>
    </w:p>
    <w:p w14:paraId="614258A7">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2.5遥控器具备北斗系统定位，至少满足蓝牙5.1和WI-FI6协议。</w:t>
      </w:r>
    </w:p>
    <w:p w14:paraId="494FEEE9">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▲2.6配置广角相机、中长焦相机，可拍摄视频具有夜景拍摄模式功能，数字变焦满足广角1-3倍，中长焦3-9倍。</w:t>
      </w:r>
    </w:p>
    <w:p w14:paraId="1A8D3E3C">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2.7最大信号有效距离至少大于2公里。</w:t>
      </w:r>
    </w:p>
    <w:p w14:paraId="37993241">
      <w:pPr>
        <w:spacing w:line="480" w:lineRule="exact"/>
        <w:ind w:firstLine="482" w:firstLineChars="200"/>
        <w:outlineLvl w:val="9"/>
        <w:rPr>
          <w:rFonts w:hint="eastAsia" w:ascii="宋体" w:hAnsi="宋体" w:cs="宋体"/>
          <w:b/>
          <w:bCs/>
          <w:color w:val="auto"/>
          <w:sz w:val="24"/>
          <w:highlight w:val="none"/>
        </w:rPr>
      </w:pPr>
      <w:bookmarkStart w:id="163" w:name="_Toc14869"/>
      <w:r>
        <w:rPr>
          <w:rFonts w:hint="eastAsia" w:ascii="宋体" w:hAnsi="宋体" w:cs="宋体"/>
          <w:b/>
          <w:bCs/>
          <w:color w:val="auto"/>
          <w:sz w:val="24"/>
          <w:highlight w:val="none"/>
        </w:rPr>
        <w:t>三、配置要求</w:t>
      </w:r>
      <w:bookmarkEnd w:id="163"/>
    </w:p>
    <w:p w14:paraId="0B29B2C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3.1无人机主机1套，智能飞行电池2套，保护包1个，可视面板遥控器1套，遥控器电池2套。</w:t>
      </w:r>
    </w:p>
    <w:p w14:paraId="59BBEA29">
      <w:pPr>
        <w:spacing w:line="480" w:lineRule="exact"/>
        <w:ind w:firstLine="482" w:firstLineChars="200"/>
        <w:outlineLvl w:val="9"/>
        <w:rPr>
          <w:rFonts w:hint="eastAsia" w:ascii="宋体" w:hAnsi="宋体" w:cs="宋体"/>
          <w:b/>
          <w:bCs/>
          <w:color w:val="auto"/>
          <w:sz w:val="24"/>
          <w:highlight w:val="none"/>
        </w:rPr>
      </w:pPr>
      <w:bookmarkStart w:id="164" w:name="_Toc20808"/>
      <w:r>
        <w:rPr>
          <w:rFonts w:hint="eastAsia" w:ascii="宋体" w:hAnsi="宋体" w:cs="宋体"/>
          <w:b/>
          <w:bCs/>
          <w:color w:val="auto"/>
          <w:sz w:val="24"/>
          <w:highlight w:val="none"/>
        </w:rPr>
        <w:t>四、技术服务和培训</w:t>
      </w:r>
      <w:bookmarkEnd w:id="164"/>
    </w:p>
    <w:p w14:paraId="1913026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仪器安装、验收：中标人免费送达采购人指定地后，采购人通知后两周内进行安装调试及现场培训，直至通过验收。</w:t>
      </w:r>
    </w:p>
    <w:p w14:paraId="094F3B2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质保期：中标人至少提供2年质保期，自验收通过之日起计，质保期内所有服务全部免费。</w:t>
      </w:r>
    </w:p>
    <w:p w14:paraId="3F9C0614">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4.3维修响应时间：中标人对采购人的服务要求应在2小时内响应；需要在现场进行维修的，应在2个工作日内到达仪器现场。</w:t>
      </w:r>
    </w:p>
    <w:p w14:paraId="5FA203BB">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4.4培训：中标人免费对采购人技术人员的操作、维修、保养等方面进行培训，直至采购人独立操作和使用。</w:t>
      </w:r>
    </w:p>
    <w:p w14:paraId="65760E4C">
      <w:pPr>
        <w:spacing w:line="480" w:lineRule="exact"/>
        <w:ind w:firstLine="482" w:firstLineChars="200"/>
        <w:outlineLvl w:val="9"/>
        <w:rPr>
          <w:rFonts w:hint="eastAsia" w:ascii="宋体" w:hAnsi="宋体" w:cs="宋体"/>
          <w:b/>
          <w:bCs/>
          <w:color w:val="auto"/>
          <w:sz w:val="24"/>
          <w:highlight w:val="none"/>
        </w:rPr>
      </w:pPr>
      <w:bookmarkStart w:id="165" w:name="_Toc28199"/>
      <w:r>
        <w:rPr>
          <w:rFonts w:hint="eastAsia" w:ascii="宋体" w:hAnsi="宋体" w:cs="宋体"/>
          <w:b/>
          <w:bCs/>
          <w:color w:val="auto"/>
          <w:sz w:val="24"/>
          <w:highlight w:val="none"/>
        </w:rPr>
        <w:t>五、验收技术参数指标</w:t>
      </w:r>
      <w:bookmarkEnd w:id="165"/>
    </w:p>
    <w:p w14:paraId="7D0F72FD">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5.1飞行器运输箱1个，电池箱1个，飞行电池2个，可视面板遥控器1个。</w:t>
      </w:r>
    </w:p>
    <w:p w14:paraId="12C5050F">
      <w:pPr>
        <w:rPr>
          <w:color w:val="auto"/>
          <w:highlight w:val="none"/>
        </w:rPr>
      </w:pPr>
    </w:p>
    <w:p w14:paraId="1453A81E">
      <w:pPr>
        <w:rPr>
          <w:color w:val="auto"/>
          <w:highlight w:val="none"/>
        </w:rPr>
      </w:pPr>
    </w:p>
    <w:p w14:paraId="0F2F7E88">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6" w:name="_Toc9282"/>
      <w:r>
        <w:rPr>
          <w:rFonts w:hint="eastAsia" w:ascii="宋体" w:hAnsi="宋体" w:eastAsia="宋体" w:cs="宋体"/>
          <w:color w:val="auto"/>
          <w:sz w:val="24"/>
          <w:szCs w:val="24"/>
          <w:highlight w:val="none"/>
          <w:lang w:val="en-US" w:eastAsia="zh-CN"/>
        </w:rPr>
        <w:t>全自动降水采样器</w:t>
      </w:r>
      <w:bookmarkEnd w:id="166"/>
    </w:p>
    <w:p w14:paraId="1A263C69">
      <w:pPr>
        <w:spacing w:line="480" w:lineRule="exact"/>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一、基本要求</w:t>
      </w:r>
    </w:p>
    <w:p w14:paraId="47E83C5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用于对干湿沉降物进行采样，可以实现自动采样、自动记录采样数据等功能。具有自动采集降雨（混合样、分段样）等功能。</w:t>
      </w:r>
    </w:p>
    <w:p w14:paraId="3360D324">
      <w:pPr>
        <w:spacing w:line="4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二、技术参数</w:t>
      </w:r>
    </w:p>
    <w:p w14:paraId="2490E29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2.1具有三种采样模式：按场次、雨量、天采样（混合样）。</w:t>
      </w:r>
    </w:p>
    <w:p w14:paraId="6552BFB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2.2配置感雨（雪）传感器，灵敏度可设定，降雨(雪)强度优</w:t>
      </w:r>
      <w:r>
        <w:rPr>
          <w:rFonts w:ascii="宋体" w:hAnsi="宋体" w:cs="宋体"/>
          <w:color w:val="auto"/>
          <w:sz w:val="24"/>
          <w:highlight w:val="none"/>
        </w:rPr>
        <w:t>于0.01mm/h或0.5mm直径</w:t>
      </w:r>
      <w:r>
        <w:rPr>
          <w:rFonts w:hint="eastAsia" w:ascii="宋体" w:hAnsi="宋体" w:cs="宋体"/>
          <w:color w:val="auto"/>
          <w:sz w:val="24"/>
          <w:highlight w:val="none"/>
        </w:rPr>
        <w:t>雨滴</w:t>
      </w:r>
      <w:r>
        <w:rPr>
          <w:rFonts w:ascii="宋体" w:hAnsi="宋体" w:cs="宋体"/>
          <w:color w:val="auto"/>
          <w:sz w:val="24"/>
          <w:highlight w:val="none"/>
        </w:rPr>
        <w:t>。</w:t>
      </w:r>
    </w:p>
    <w:p w14:paraId="32925E3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2.3降雨(雪)开盖延迟时间：≤40s；雨(雪)停关盖延迟时间：≤5min。</w:t>
      </w:r>
    </w:p>
    <w:p w14:paraId="3434884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2.4整机柜机及干湿沉降收集器材质均采用不锈钢等耐高温腐蚀的材料，主机配有高亮度显示屏。</w:t>
      </w:r>
    </w:p>
    <w:p w14:paraId="5E5C8C5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2.5至少可以保存20年降水数据，数据掉电不丢失，可U盘导出数据。</w:t>
      </w:r>
    </w:p>
    <w:p w14:paraId="1F7FE3A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2.6具备漏电保护功能和防雷击保护功能，具有主机柜自动加热功能。</w:t>
      </w:r>
    </w:p>
    <w:p w14:paraId="084E656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2.7湿沉降收集器上口内径：Ф(300±2)mm；干沉降收集器上口内径：Ф(150±2)mm。</w:t>
      </w:r>
    </w:p>
    <w:p w14:paraId="4294D611">
      <w:pPr>
        <w:spacing w:line="4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三、配置要求</w:t>
      </w:r>
    </w:p>
    <w:p w14:paraId="62E5261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ascii="宋体" w:hAnsi="宋体" w:cs="宋体"/>
          <w:color w:val="auto"/>
          <w:sz w:val="24"/>
          <w:highlight w:val="none"/>
        </w:rPr>
        <w:t>感雨传感器1个，降雨收集桶8个（1L），降尘缸1个、雨量计1个，恒温箱1套。</w:t>
      </w:r>
    </w:p>
    <w:p w14:paraId="0BF3FB82">
      <w:pPr>
        <w:spacing w:line="4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四、技术服务和培训</w:t>
      </w:r>
    </w:p>
    <w:p w14:paraId="2A045CF4">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仪器安装、验收：中标人免费送达采购人指定地后，采购人通知后两周内进行安装调试及现场培训，直至通过验收。</w:t>
      </w:r>
    </w:p>
    <w:p w14:paraId="046ED55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仪器质保期2年，自验收通过之日起计。验收前提供检定证书或校准证书。</w:t>
      </w:r>
    </w:p>
    <w:p w14:paraId="2AFBE04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4.3技术工程师上门做操作培训，直到采购人技术人员全部掌握为止，协助用户进行仪器日常的维护，并定期回访。</w:t>
      </w:r>
    </w:p>
    <w:p w14:paraId="1BD88E17">
      <w:pPr>
        <w:spacing w:line="4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w:t>
      </w:r>
      <w:r>
        <w:rPr>
          <w:rFonts w:ascii="宋体" w:hAnsi="宋体" w:cs="宋体"/>
          <w:b/>
          <w:bCs/>
          <w:color w:val="auto"/>
          <w:sz w:val="24"/>
          <w:highlight w:val="none"/>
        </w:rPr>
        <w:t>验收技术参数指标</w:t>
      </w:r>
    </w:p>
    <w:p w14:paraId="5DCFD0F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5.1降雨(雪)开盖延迟时间：≤40s；雨(雪)停关盖延迟时间：≤5min。</w:t>
      </w:r>
    </w:p>
    <w:p w14:paraId="043E1B9B">
      <w:pPr>
        <w:spacing w:line="480" w:lineRule="exact"/>
        <w:ind w:firstLine="480" w:firstLineChars="200"/>
        <w:rPr>
          <w:rFonts w:ascii="宋体" w:hAnsi="宋体" w:cs="宋体"/>
          <w:color w:val="auto"/>
          <w:sz w:val="24"/>
          <w:highlight w:val="none"/>
        </w:rPr>
      </w:pPr>
    </w:p>
    <w:p w14:paraId="228DC05F">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7" w:name="_Toc8834"/>
      <w:r>
        <w:rPr>
          <w:rFonts w:hint="eastAsia" w:ascii="宋体" w:hAnsi="宋体" w:eastAsia="宋体" w:cs="宋体"/>
          <w:color w:val="auto"/>
          <w:sz w:val="24"/>
          <w:szCs w:val="24"/>
          <w:highlight w:val="none"/>
          <w:lang w:val="en-US" w:eastAsia="zh-CN"/>
        </w:rPr>
        <w:t>便携式傅里叶红外气体分析仪</w:t>
      </w:r>
      <w:bookmarkEnd w:id="167"/>
    </w:p>
    <w:p w14:paraId="74C5ADEA">
      <w:pPr>
        <w:spacing w:line="480" w:lineRule="exact"/>
        <w:ind w:firstLine="482" w:firstLineChars="200"/>
        <w:outlineLvl w:val="9"/>
        <w:rPr>
          <w:rFonts w:hint="eastAsia" w:ascii="宋体" w:hAnsi="宋体" w:cs="宋体"/>
          <w:b/>
          <w:bCs/>
          <w:color w:val="auto"/>
          <w:sz w:val="24"/>
          <w:highlight w:val="none"/>
        </w:rPr>
      </w:pPr>
      <w:bookmarkStart w:id="168" w:name="_Toc9403"/>
      <w:r>
        <w:rPr>
          <w:rFonts w:hint="eastAsia" w:ascii="宋体" w:hAnsi="宋体" w:cs="宋体"/>
          <w:b/>
          <w:bCs/>
          <w:color w:val="auto"/>
          <w:sz w:val="24"/>
          <w:highlight w:val="none"/>
        </w:rPr>
        <w:t>一、基本要求</w:t>
      </w:r>
      <w:bookmarkEnd w:id="168"/>
    </w:p>
    <w:p w14:paraId="5EADDE25">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用于环境空气应急和固定污染源两种场景下的无机、有机气体监测，采用傅里叶变换红外分析原理，有良好的便携性和内置电池供电设计，满足HJ920、HJ919、HJ 1240、HJ1330、HJ1011等标准要求。</w:t>
      </w:r>
    </w:p>
    <w:p w14:paraId="4F302042">
      <w:pPr>
        <w:spacing w:line="480" w:lineRule="exact"/>
        <w:ind w:firstLine="482" w:firstLineChars="200"/>
        <w:outlineLvl w:val="9"/>
        <w:rPr>
          <w:rFonts w:hint="eastAsia" w:ascii="宋体" w:hAnsi="宋体" w:cs="宋体"/>
          <w:b/>
          <w:bCs/>
          <w:color w:val="auto"/>
          <w:sz w:val="24"/>
          <w:highlight w:val="none"/>
        </w:rPr>
      </w:pPr>
      <w:bookmarkStart w:id="169" w:name="_Toc32708"/>
      <w:r>
        <w:rPr>
          <w:rFonts w:hint="eastAsia" w:ascii="宋体" w:hAnsi="宋体" w:cs="宋体"/>
          <w:b/>
          <w:bCs/>
          <w:color w:val="auto"/>
          <w:sz w:val="24"/>
          <w:highlight w:val="none"/>
        </w:rPr>
        <w:t>二、技术参数</w:t>
      </w:r>
      <w:bookmarkEnd w:id="169"/>
    </w:p>
    <w:p w14:paraId="0452769F">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2.1可同时实现环境空气应急和固定污染源两种场景切换。</w:t>
      </w:r>
    </w:p>
    <w:p w14:paraId="6A9D61CA">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2.2 主机内置采样泵及充电电池，电池续航时间不小于4小时。</w:t>
      </w:r>
    </w:p>
    <w:p w14:paraId="32BD6CC8">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w:t>
      </w:r>
      <w:r>
        <w:rPr>
          <w:rFonts w:hint="eastAsia" w:ascii="宋体" w:hAnsi="宋体" w:cs="宋体"/>
          <w:color w:val="auto"/>
          <w:sz w:val="24"/>
          <w:highlight w:val="none"/>
        </w:rPr>
        <w:t>3</w:t>
      </w:r>
      <w:r>
        <w:rPr>
          <w:rFonts w:hint="eastAsia" w:ascii="宋体" w:hAnsi="宋体" w:cs="宋体"/>
          <w:color w:val="auto"/>
          <w:sz w:val="24"/>
          <w:highlight w:val="none"/>
          <w:lang w:val="en-GB"/>
        </w:rPr>
        <w:t xml:space="preserve"> </w:t>
      </w:r>
      <w:r>
        <w:rPr>
          <w:rFonts w:hint="eastAsia" w:ascii="宋体" w:hAnsi="宋体" w:cs="宋体"/>
          <w:color w:val="auto"/>
          <w:sz w:val="24"/>
          <w:highlight w:val="none"/>
        </w:rPr>
        <w:t>光谱</w:t>
      </w:r>
      <w:r>
        <w:rPr>
          <w:rFonts w:hint="eastAsia" w:ascii="宋体" w:hAnsi="宋体" w:cs="宋体"/>
          <w:color w:val="auto"/>
          <w:sz w:val="24"/>
          <w:highlight w:val="none"/>
          <w:lang w:val="en-GB"/>
        </w:rPr>
        <w:t>分辨率≤8cm-1。</w:t>
      </w:r>
    </w:p>
    <w:p w14:paraId="28030BCD">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w:t>
      </w:r>
      <w:r>
        <w:rPr>
          <w:rFonts w:hint="eastAsia" w:ascii="宋体" w:hAnsi="宋体" w:cs="宋体"/>
          <w:color w:val="auto"/>
          <w:sz w:val="24"/>
          <w:highlight w:val="none"/>
          <w:lang w:val="en-GB"/>
        </w:rPr>
        <w:t>2.</w:t>
      </w:r>
      <w:r>
        <w:rPr>
          <w:rFonts w:hint="eastAsia" w:ascii="宋体" w:hAnsi="宋体" w:cs="宋体"/>
          <w:color w:val="auto"/>
          <w:sz w:val="24"/>
          <w:highlight w:val="none"/>
        </w:rPr>
        <w:t>4</w:t>
      </w:r>
      <w:r>
        <w:rPr>
          <w:rFonts w:hint="eastAsia" w:ascii="宋体" w:hAnsi="宋体" w:cs="宋体"/>
          <w:color w:val="auto"/>
          <w:sz w:val="24"/>
          <w:highlight w:val="none"/>
          <w:lang w:val="en-GB"/>
        </w:rPr>
        <w:t xml:space="preserve"> 样气室光程</w:t>
      </w:r>
      <w:r>
        <w:rPr>
          <w:rFonts w:hint="eastAsia" w:ascii="宋体" w:hAnsi="宋体" w:cs="宋体"/>
          <w:color w:val="auto"/>
          <w:sz w:val="24"/>
          <w:highlight w:val="none"/>
        </w:rPr>
        <w:t>≥</w:t>
      </w:r>
      <w:r>
        <w:rPr>
          <w:rFonts w:hint="eastAsia" w:ascii="宋体" w:hAnsi="宋体" w:cs="宋体"/>
          <w:color w:val="auto"/>
          <w:sz w:val="24"/>
          <w:highlight w:val="none"/>
          <w:lang w:val="en-GB"/>
        </w:rPr>
        <w:t>9m。</w:t>
      </w:r>
    </w:p>
    <w:p w14:paraId="17E87478">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w:t>
      </w:r>
      <w:r>
        <w:rPr>
          <w:rFonts w:hint="eastAsia" w:ascii="宋体" w:hAnsi="宋体" w:cs="宋体"/>
          <w:color w:val="auto"/>
          <w:sz w:val="24"/>
          <w:highlight w:val="none"/>
        </w:rPr>
        <w:t>5</w:t>
      </w:r>
      <w:r>
        <w:rPr>
          <w:rFonts w:hint="eastAsia" w:ascii="宋体" w:hAnsi="宋体" w:cs="宋体"/>
          <w:color w:val="auto"/>
          <w:sz w:val="24"/>
          <w:highlight w:val="none"/>
          <w:lang w:val="en-GB"/>
        </w:rPr>
        <w:t xml:space="preserve"> 样气室内壁、反射镜涂有抗腐蚀涂层。</w:t>
      </w:r>
    </w:p>
    <w:p w14:paraId="4BC8CD86">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w:t>
      </w:r>
      <w:r>
        <w:rPr>
          <w:rFonts w:hint="eastAsia" w:ascii="宋体" w:hAnsi="宋体" w:cs="宋体"/>
          <w:color w:val="auto"/>
          <w:sz w:val="24"/>
          <w:highlight w:val="none"/>
        </w:rPr>
        <w:t>6</w:t>
      </w:r>
      <w:r>
        <w:rPr>
          <w:rFonts w:hint="eastAsia" w:ascii="宋体" w:hAnsi="宋体" w:cs="宋体"/>
          <w:color w:val="auto"/>
          <w:sz w:val="24"/>
          <w:highlight w:val="none"/>
          <w:lang w:val="en-GB"/>
        </w:rPr>
        <w:t xml:space="preserve"> 全程加热不低于180℃，恒温控制。</w:t>
      </w:r>
    </w:p>
    <w:p w14:paraId="718174C7">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w:t>
      </w:r>
      <w:r>
        <w:rPr>
          <w:rFonts w:hint="eastAsia" w:ascii="宋体" w:hAnsi="宋体" w:cs="宋体"/>
          <w:color w:val="auto"/>
          <w:sz w:val="24"/>
          <w:highlight w:val="none"/>
        </w:rPr>
        <w:t>7</w:t>
      </w:r>
      <w:r>
        <w:rPr>
          <w:rFonts w:hint="eastAsia" w:ascii="宋体" w:hAnsi="宋体" w:cs="宋体"/>
          <w:color w:val="auto"/>
          <w:sz w:val="24"/>
          <w:highlight w:val="none"/>
          <w:lang w:val="en-GB"/>
        </w:rPr>
        <w:t xml:space="preserve"> 过滤系统要求：至少可过滤粒径小于1μm的颗粒物。</w:t>
      </w:r>
    </w:p>
    <w:p w14:paraId="0E69F41A">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w:t>
      </w:r>
      <w:r>
        <w:rPr>
          <w:rFonts w:hint="eastAsia" w:ascii="宋体" w:hAnsi="宋体" w:cs="宋体"/>
          <w:color w:val="auto"/>
          <w:sz w:val="24"/>
          <w:highlight w:val="none"/>
          <w:lang w:val="en-GB"/>
        </w:rPr>
        <w:t>2.8定量误差≤±5%</w:t>
      </w:r>
      <w:r>
        <w:rPr>
          <w:rFonts w:hint="eastAsia" w:ascii="宋体" w:hAnsi="宋体" w:cs="宋体"/>
          <w:color w:val="auto"/>
          <w:sz w:val="24"/>
          <w:highlight w:val="none"/>
        </w:rPr>
        <w:t>（0~50μmol/mol）。</w:t>
      </w:r>
    </w:p>
    <w:p w14:paraId="11C63C06">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w:t>
      </w:r>
      <w:r>
        <w:rPr>
          <w:rFonts w:hint="eastAsia" w:ascii="宋体" w:hAnsi="宋体" w:cs="宋体"/>
          <w:color w:val="auto"/>
          <w:sz w:val="24"/>
          <w:highlight w:val="none"/>
          <w:lang w:val="en-GB"/>
        </w:rPr>
        <w:t>2.9 重复性：≤±2%。</w:t>
      </w:r>
    </w:p>
    <w:p w14:paraId="7CF97CF4">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2.10 零点漂移：≤±3%（0~50μmol/mol）。</w:t>
      </w:r>
    </w:p>
    <w:p w14:paraId="0A3BA77D">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2.11 零点漂移≤±2%FS/24。</w:t>
      </w:r>
    </w:p>
    <w:p w14:paraId="2D9509DA">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2.12 量程漂移：≤±3%（0~50μmol/mol）。</w:t>
      </w:r>
    </w:p>
    <w:p w14:paraId="49A7C6D0">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2.13内置地理定位信息模块（只限北斗），可查询测试数据的地理经纬度。</w:t>
      </w:r>
    </w:p>
    <w:p w14:paraId="4482F281">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w:t>
      </w:r>
      <w:r>
        <w:rPr>
          <w:rFonts w:hint="eastAsia" w:ascii="宋体" w:hAnsi="宋体" w:cs="宋体"/>
          <w:color w:val="auto"/>
          <w:sz w:val="24"/>
          <w:highlight w:val="none"/>
          <w:lang w:val="en-GB"/>
        </w:rPr>
        <w:t>2.14定性定量光谱库不少于50组分光谱图库分（高、低浓度），至少满足HJ920、HJ919、HJ 1240、HJ1330的要求。</w:t>
      </w:r>
    </w:p>
    <w:p w14:paraId="6E9E09A4">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2.15 定性半定量不少于300种光谱图库。</w:t>
      </w:r>
    </w:p>
    <w:p w14:paraId="3FE4BD0F">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2.16定性光谱库不少于5000种种光谱图库，可对未知气体组分进行快速分析。</w:t>
      </w:r>
    </w:p>
    <w:p w14:paraId="4535B241">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2.17 能够实现对未知气体的自动查找和判定。</w:t>
      </w:r>
    </w:p>
    <w:p w14:paraId="38043E3B">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2.18测量结果可进行干、湿浓度以及ppm与mg/m3的转换。</w:t>
      </w:r>
    </w:p>
    <w:p w14:paraId="0936CBA8">
      <w:pPr>
        <w:spacing w:line="480" w:lineRule="exact"/>
        <w:ind w:firstLine="482" w:firstLineChars="200"/>
        <w:outlineLvl w:val="9"/>
        <w:rPr>
          <w:rFonts w:hint="eastAsia" w:ascii="宋体" w:hAnsi="宋体" w:cs="宋体"/>
          <w:b/>
          <w:bCs/>
          <w:color w:val="auto"/>
          <w:sz w:val="24"/>
          <w:highlight w:val="none"/>
        </w:rPr>
      </w:pPr>
      <w:bookmarkStart w:id="170" w:name="_Toc15658"/>
      <w:r>
        <w:rPr>
          <w:rFonts w:hint="eastAsia" w:ascii="宋体" w:hAnsi="宋体" w:cs="宋体"/>
          <w:b/>
          <w:bCs/>
          <w:color w:val="auto"/>
          <w:sz w:val="24"/>
          <w:highlight w:val="none"/>
        </w:rPr>
        <w:t>三、配置要求</w:t>
      </w:r>
      <w:bookmarkEnd w:id="170"/>
    </w:p>
    <w:p w14:paraId="248C720E">
      <w:pPr>
        <w:tabs>
          <w:tab w:val="left" w:pos="3000"/>
        </w:tabs>
        <w:spacing w:line="480" w:lineRule="exact"/>
        <w:ind w:firstLine="480" w:firstLineChars="200"/>
        <w:rPr>
          <w:rFonts w:hint="eastAsia"/>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GB"/>
        </w:rPr>
        <w:t>.1仪器装箱清单、质量合格证明文件、保修卡、使用说明和维护手册等技术文件齐全。便携式数据处理系统（优于13英寸触控屏，16G+512G、内置电池续航不少于8h）</w:t>
      </w:r>
      <w:r>
        <w:rPr>
          <w:rFonts w:hint="eastAsia"/>
          <w:color w:val="auto"/>
          <w:sz w:val="24"/>
          <w:highlight w:val="none"/>
        </w:rPr>
        <w:t>；</w:t>
      </w:r>
    </w:p>
    <w:p w14:paraId="3D9F3D89">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.2安装：仪器制造商授权的技术人员现场安装调试，仪器技术指标经双方技术人员按合同要求验收合格</w:t>
      </w:r>
      <w:bookmarkStart w:id="171" w:name="_Hlk128553040"/>
      <w:r>
        <w:rPr>
          <w:rFonts w:hint="eastAsia" w:ascii="宋体" w:hAnsi="宋体" w:cs="宋体"/>
          <w:color w:val="auto"/>
          <w:sz w:val="24"/>
          <w:highlight w:val="none"/>
          <w:lang w:val="en-GB"/>
        </w:rPr>
        <w:t>并正常运行一个月，</w:t>
      </w:r>
      <w:bookmarkEnd w:id="171"/>
      <w:r>
        <w:rPr>
          <w:rFonts w:hint="eastAsia" w:ascii="宋体" w:hAnsi="宋体" w:cs="宋体"/>
          <w:color w:val="auto"/>
          <w:sz w:val="24"/>
          <w:highlight w:val="none"/>
          <w:lang w:val="en-GB"/>
        </w:rPr>
        <w:t>用户方方可签字验收，并附验收报告。</w:t>
      </w:r>
    </w:p>
    <w:p w14:paraId="2108806C">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.3要求在接用户反映后，须在8h内响应，48h到现场解决问题。</w:t>
      </w:r>
    </w:p>
    <w:p w14:paraId="5E3365EE">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.4质保期：设备验收合格后，整机免费质保不少于两年。</w:t>
      </w:r>
    </w:p>
    <w:p w14:paraId="74DA4C3A">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.5质保期内，所有故障提供免费技术服务和维修，仪器设备保养维护（一年不少于2次）及自校工作等。</w:t>
      </w:r>
    </w:p>
    <w:p w14:paraId="75AB3511">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.6现场培训：仪器制造商工程师在仪器安装、调试、验收完毕后进行现场培训直至买方掌握运行操作、维修保养技术。</w:t>
      </w:r>
    </w:p>
    <w:p w14:paraId="441FD1E0">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.7设备检定：设备安装调试完成后，由供货商提供检定服务。</w:t>
      </w:r>
    </w:p>
    <w:p w14:paraId="13C34C3B">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.8免费软件升级（如有），并以优惠价提供配件耗材。</w:t>
      </w:r>
    </w:p>
    <w:p w14:paraId="46501C58">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3</w:t>
      </w:r>
      <w:r>
        <w:rPr>
          <w:rFonts w:hint="eastAsia" w:ascii="宋体" w:hAnsi="宋体" w:cs="宋体"/>
          <w:color w:val="auto"/>
          <w:sz w:val="24"/>
          <w:highlight w:val="none"/>
          <w:lang w:val="en-GB"/>
        </w:rPr>
        <w:t>.9 合同生效后三个月内交货，交货地点由用户方指定。</w:t>
      </w:r>
    </w:p>
    <w:p w14:paraId="0A5C3C8E">
      <w:pPr>
        <w:spacing w:line="480" w:lineRule="exact"/>
        <w:ind w:firstLine="482" w:firstLineChars="200"/>
        <w:outlineLvl w:val="9"/>
        <w:rPr>
          <w:rFonts w:hint="eastAsia" w:ascii="宋体" w:hAnsi="宋体" w:cs="宋体"/>
          <w:b/>
          <w:bCs/>
          <w:color w:val="auto"/>
          <w:sz w:val="24"/>
          <w:highlight w:val="none"/>
        </w:rPr>
      </w:pPr>
      <w:bookmarkStart w:id="172" w:name="_Toc9837"/>
      <w:r>
        <w:rPr>
          <w:rFonts w:hint="eastAsia" w:ascii="宋体" w:hAnsi="宋体" w:cs="宋体"/>
          <w:b/>
          <w:bCs/>
          <w:color w:val="auto"/>
          <w:sz w:val="24"/>
          <w:highlight w:val="none"/>
        </w:rPr>
        <w:t>四、技术服务和培训</w:t>
      </w:r>
      <w:bookmarkEnd w:id="172"/>
    </w:p>
    <w:p w14:paraId="0F8BCC3C">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w:t>
      </w:r>
      <w:r>
        <w:rPr>
          <w:rFonts w:hint="eastAsia" w:ascii="宋体" w:hAnsi="宋体" w:cs="宋体"/>
          <w:color w:val="auto"/>
          <w:sz w:val="24"/>
          <w:highlight w:val="none"/>
        </w:rPr>
        <w:t>1</w:t>
      </w:r>
      <w:r>
        <w:rPr>
          <w:rFonts w:hint="eastAsia" w:ascii="宋体" w:hAnsi="宋体" w:cs="宋体"/>
          <w:color w:val="auto"/>
          <w:sz w:val="24"/>
          <w:highlight w:val="none"/>
          <w:lang w:val="en-GB"/>
        </w:rPr>
        <w:t>安装：仪器制造商授权的技术人员现场安装调试，仪器技术指标经双方技术人员按合同要求验收合格并正常运行一个月，用户方方可签字验收，并附验收报告，提供</w:t>
      </w:r>
      <w:r>
        <w:rPr>
          <w:rFonts w:hint="eastAsia" w:ascii="宋体" w:hAnsi="宋体" w:cs="宋体"/>
          <w:color w:val="auto"/>
          <w:sz w:val="24"/>
          <w:highlight w:val="none"/>
        </w:rPr>
        <w:t>校准或检定证书。</w:t>
      </w:r>
      <w:r>
        <w:rPr>
          <w:rFonts w:hint="eastAsia" w:ascii="宋体" w:hAnsi="宋体" w:cs="宋体"/>
          <w:color w:val="auto"/>
          <w:sz w:val="24"/>
          <w:highlight w:val="none"/>
          <w:lang w:val="en-GB"/>
        </w:rPr>
        <w:t>合同生效后三个月内交货，交货地点由用户方指定。</w:t>
      </w:r>
    </w:p>
    <w:p w14:paraId="0126D991">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w:t>
      </w:r>
      <w:r>
        <w:rPr>
          <w:rFonts w:hint="eastAsia" w:ascii="宋体" w:hAnsi="宋体" w:cs="宋体"/>
          <w:color w:val="auto"/>
          <w:sz w:val="24"/>
          <w:highlight w:val="none"/>
        </w:rPr>
        <w:t>2</w:t>
      </w:r>
      <w:r>
        <w:rPr>
          <w:rFonts w:hint="eastAsia" w:ascii="宋体" w:hAnsi="宋体" w:cs="宋体"/>
          <w:color w:val="auto"/>
          <w:sz w:val="24"/>
          <w:highlight w:val="none"/>
          <w:lang w:val="en-GB"/>
        </w:rPr>
        <w:t>要求在接用户反映后，须在8h内响应，48h到现场解决问题。</w:t>
      </w:r>
    </w:p>
    <w:p w14:paraId="4A7532E4">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w:t>
      </w:r>
      <w:r>
        <w:rPr>
          <w:rFonts w:hint="eastAsia" w:ascii="宋体" w:hAnsi="宋体" w:cs="宋体"/>
          <w:color w:val="auto"/>
          <w:sz w:val="24"/>
          <w:highlight w:val="none"/>
        </w:rPr>
        <w:t>3</w:t>
      </w:r>
      <w:r>
        <w:rPr>
          <w:rFonts w:hint="eastAsia" w:ascii="宋体" w:hAnsi="宋体" w:cs="宋体"/>
          <w:color w:val="auto"/>
          <w:sz w:val="24"/>
          <w:highlight w:val="none"/>
          <w:lang w:val="en-GB"/>
        </w:rPr>
        <w:t>质保期：设备验收合格后，整机免费质保不少于两年。质保期内所有故障提供免费技术服务和维修，仪器设备保养维护（一年不少于2次）及自校工作等。</w:t>
      </w:r>
    </w:p>
    <w:p w14:paraId="0D2E3CE8">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.4现场培训：仪器制造商工程师在仪器安装、调试、验收完毕后进行现场培训直至买方掌握运行操作、维修保养技术。</w:t>
      </w:r>
    </w:p>
    <w:p w14:paraId="41E35AAF">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w:t>
      </w:r>
      <w:r>
        <w:rPr>
          <w:rFonts w:hint="eastAsia" w:ascii="宋体" w:hAnsi="宋体" w:cs="宋体"/>
          <w:color w:val="auto"/>
          <w:sz w:val="24"/>
          <w:highlight w:val="none"/>
        </w:rPr>
        <w:t>5</w:t>
      </w:r>
      <w:r>
        <w:rPr>
          <w:rFonts w:hint="eastAsia" w:ascii="宋体" w:hAnsi="宋体" w:cs="宋体"/>
          <w:color w:val="auto"/>
          <w:sz w:val="24"/>
          <w:highlight w:val="none"/>
          <w:lang w:val="en-GB"/>
        </w:rPr>
        <w:t xml:space="preserve"> 设备检定：设备安装调试完成后，由供货商提供检定服务。</w:t>
      </w:r>
    </w:p>
    <w:p w14:paraId="4A1AD393">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w:t>
      </w:r>
      <w:r>
        <w:rPr>
          <w:rFonts w:hint="eastAsia" w:ascii="宋体" w:hAnsi="宋体" w:cs="宋体"/>
          <w:color w:val="auto"/>
          <w:sz w:val="24"/>
          <w:highlight w:val="none"/>
        </w:rPr>
        <w:t>6</w:t>
      </w:r>
      <w:r>
        <w:rPr>
          <w:rFonts w:hint="eastAsia" w:ascii="宋体" w:hAnsi="宋体" w:cs="宋体"/>
          <w:color w:val="auto"/>
          <w:sz w:val="24"/>
          <w:highlight w:val="none"/>
          <w:lang w:val="en-GB"/>
        </w:rPr>
        <w:t xml:space="preserve"> 免费软件升级（如有），并以优惠价提供配件耗材。</w:t>
      </w:r>
    </w:p>
    <w:p w14:paraId="02338CBE">
      <w:pPr>
        <w:spacing w:line="480" w:lineRule="exact"/>
        <w:ind w:firstLine="482" w:firstLineChars="200"/>
        <w:outlineLvl w:val="9"/>
        <w:rPr>
          <w:rFonts w:hint="eastAsia" w:ascii="宋体" w:hAnsi="宋体" w:cs="宋体"/>
          <w:b/>
          <w:bCs/>
          <w:color w:val="auto"/>
          <w:sz w:val="24"/>
          <w:highlight w:val="none"/>
        </w:rPr>
      </w:pPr>
      <w:bookmarkStart w:id="173" w:name="_Toc8054"/>
      <w:r>
        <w:rPr>
          <w:rFonts w:hint="eastAsia" w:ascii="宋体" w:hAnsi="宋体" w:cs="宋体"/>
          <w:b/>
          <w:bCs/>
          <w:color w:val="auto"/>
          <w:sz w:val="24"/>
          <w:highlight w:val="none"/>
        </w:rPr>
        <w:t>五、验收技术参数指标</w:t>
      </w:r>
      <w:bookmarkEnd w:id="173"/>
    </w:p>
    <w:p w14:paraId="0EAAFC70">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5.1示值误差≤±5%（仪器运行稳定后，依次通入标气待数据稳定后，计算示值误差，SO2、NO、HCL、NH3、C7H8标气浓度50ppm左右）；</w:t>
      </w:r>
    </w:p>
    <w:p w14:paraId="50A31CFF">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5.2定量测量重复性≤±2.0%（仪器运行稳定后，依次通入标气，待示值稳定后记录所有测量组分的示值，SO2、NO、HCL、NH3、C7H8标气浓度为50ppm左右，使用同一浓度校准气重复上述测试操作，至少 6 次，计算重复性）；</w:t>
      </w:r>
    </w:p>
    <w:p w14:paraId="1C9C37FC">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5.3中文软件分析系统及光谱库（定性定量光谱库不少于50组分，定性半定量不少于300种，定性光谱库不少于5000种。</w:t>
      </w:r>
    </w:p>
    <w:p w14:paraId="301C6DC1">
      <w:pPr>
        <w:tabs>
          <w:tab w:val="left" w:pos="3000"/>
        </w:tabs>
        <w:spacing w:line="4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5.4便携式数据处理系统（优于13英寸触控屏，16G+512G、内置电池续航不少于8h），提供符合相关标准的检定证书。</w:t>
      </w:r>
    </w:p>
    <w:p w14:paraId="2E722E70">
      <w:pPr>
        <w:spacing w:line="480" w:lineRule="exact"/>
        <w:ind w:firstLine="482" w:firstLineChars="200"/>
        <w:jc w:val="center"/>
        <w:rPr>
          <w:rFonts w:hint="eastAsia" w:ascii="宋体" w:hAnsi="宋体" w:cs="宋体"/>
          <w:b/>
          <w:bCs/>
          <w:color w:val="auto"/>
          <w:sz w:val="24"/>
          <w:highlight w:val="none"/>
          <w:lang w:val="en-GB"/>
        </w:rPr>
      </w:pPr>
    </w:p>
    <w:p w14:paraId="7E2A8FEE">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74" w:name="_Toc23272"/>
      <w:r>
        <w:rPr>
          <w:rFonts w:hint="eastAsia" w:ascii="宋体" w:hAnsi="宋体" w:eastAsia="宋体" w:cs="宋体"/>
          <w:color w:val="auto"/>
          <w:sz w:val="24"/>
          <w:szCs w:val="24"/>
          <w:highlight w:val="none"/>
          <w:lang w:val="en-US" w:eastAsia="zh-CN"/>
        </w:rPr>
        <w:t>烟尘烟气分析仪</w:t>
      </w:r>
      <w:bookmarkEnd w:id="174"/>
    </w:p>
    <w:p w14:paraId="2A2C129E">
      <w:pPr>
        <w:spacing w:line="480" w:lineRule="exact"/>
        <w:ind w:firstLine="482" w:firstLineChars="200"/>
        <w:outlineLvl w:val="9"/>
        <w:rPr>
          <w:rFonts w:hint="eastAsia" w:ascii="宋体" w:hAnsi="宋体" w:cs="宋体"/>
          <w:b/>
          <w:bCs/>
          <w:color w:val="auto"/>
          <w:sz w:val="24"/>
          <w:highlight w:val="none"/>
        </w:rPr>
      </w:pPr>
      <w:bookmarkStart w:id="175" w:name="_Toc230"/>
      <w:r>
        <w:rPr>
          <w:rFonts w:hint="eastAsia" w:ascii="宋体" w:hAnsi="宋体" w:cs="宋体"/>
          <w:b/>
          <w:bCs/>
          <w:color w:val="auto"/>
          <w:sz w:val="24"/>
          <w:highlight w:val="none"/>
        </w:rPr>
        <w:t>一、基本要求</w:t>
      </w:r>
      <w:bookmarkEnd w:id="175"/>
    </w:p>
    <w:p w14:paraId="77D2F5BC">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采集固定污染源废气中的低浓度颗粒物以及进行烟气中SO2、NOx、CO、O2等成分分析。烟尘检测符合《固定污染源废气低浓度颗粒物的测定重量法》（HJ836-2017），烟气检测符合《固定污染源废气二氧化硫的测定定电位电解法》（HJ629-2011）、《固定污染源废气氮氧化物的测定定电位电解法》（HJ693-2014）、《固定污染源废气一氧化碳的测定定电位电解法》（HJ973-2018。</w:t>
      </w:r>
    </w:p>
    <w:p w14:paraId="732A324B">
      <w:pPr>
        <w:spacing w:line="480" w:lineRule="exact"/>
        <w:ind w:firstLine="482" w:firstLineChars="200"/>
        <w:outlineLvl w:val="9"/>
        <w:rPr>
          <w:rFonts w:hint="eastAsia" w:ascii="宋体" w:hAnsi="宋体" w:cs="宋体"/>
          <w:b/>
          <w:bCs/>
          <w:color w:val="auto"/>
          <w:sz w:val="24"/>
          <w:highlight w:val="none"/>
        </w:rPr>
      </w:pPr>
      <w:bookmarkStart w:id="176" w:name="_Toc25105"/>
      <w:r>
        <w:rPr>
          <w:rFonts w:hint="eastAsia" w:ascii="宋体" w:hAnsi="宋体" w:cs="宋体"/>
          <w:b/>
          <w:bCs/>
          <w:color w:val="auto"/>
          <w:sz w:val="24"/>
          <w:highlight w:val="none"/>
        </w:rPr>
        <w:t>二、技术参数</w:t>
      </w:r>
      <w:bookmarkEnd w:id="176"/>
    </w:p>
    <w:p w14:paraId="34D850F9">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内置北斗地理定位系统,日期时间自动授时功能。</w:t>
      </w:r>
    </w:p>
    <w:p w14:paraId="69A71F5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2.2可同时进行烟尘采样和烟气测定；</w:t>
      </w:r>
    </w:p>
    <w:p w14:paraId="4B6975D7">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至少满足干湿球法和阻容法两种含湿量测量模式。</w:t>
      </w:r>
    </w:p>
    <w:p w14:paraId="27DA85E9">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2.4工况测量支持有线和无线双通信模式。</w:t>
      </w:r>
    </w:p>
    <w:p w14:paraId="054FF618">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2.5采样泵负载能力：≥50L/min(阻力为20kPa时)。</w:t>
      </w:r>
    </w:p>
    <w:p w14:paraId="67A09DE7">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2.6采样流量：0～100L/min；</w:t>
      </w:r>
    </w:p>
    <w:p w14:paraId="17D6A70C">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2.7烟气动压：0～2000Pa；分辨率不高于 1Pa，准确度满足±1%FS。</w:t>
      </w:r>
    </w:p>
    <w:p w14:paraId="20D3421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2.8烟气静压：-30～30kPa；分辨率不高于0.01 kPa ，准确度优于±1%FS。</w:t>
      </w:r>
    </w:p>
    <w:p w14:paraId="639A3D5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2.9流量计前压力：-30～0kPa；分辨率不高于0.01 kPa ，最大误差不超过±1%FS。</w:t>
      </w:r>
    </w:p>
    <w:p w14:paraId="2F2F670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2.10流量计前温度：-20～125℃；分辨率不高于0.1℃ ，最大误差不超过±2.5℃。</w:t>
      </w:r>
    </w:p>
    <w:p w14:paraId="488F60A3">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2.11烟气温度：0～500℃；分辨率不高于1℃；最大允许误差不超过±3.0℃。</w:t>
      </w:r>
    </w:p>
    <w:p w14:paraId="3F7B2DCC">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▲2.12等速采样或恒流采样，等速满足5～45m/s，分辨率不高于0.1 m/s，示值误差≤±5.0%。</w:t>
      </w:r>
    </w:p>
    <w:p w14:paraId="7398CA1E">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2.13大气压60～130kPa，分辨率优于0.1kPa，示值误差≤±0.5kPa。</w:t>
      </w:r>
    </w:p>
    <w:p w14:paraId="478EC707">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SO2量程：具有高低浓度2个传感器，SO2低浓度量程0～250mg/m3、SO2高浓度量程0～6000mg/m3，分辨率不高于1ppm或0.1mg/m3，低浓度量程示值误差≤±5μmol/mol，高浓度量程示值误差≤±5.0%；重复性≤2.0；响应时间≤90s，稳定性1h≤5.0%。</w:t>
      </w:r>
    </w:p>
    <w:p w14:paraId="4B76213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NO：量程0～1000ppm或0～1600mg/m3，分辨率不超过1ppm或0.1mg/m3,示值误差≤±5.0%；重复性≤2.0；响应时间≤90s，稳定性1h≤5.0%；NO2：量程覆盖 0～200mg/m3，分辨率不高于1ppm或0.1mg/m3，示值误差≤±5.0%；重复性≤2.0；响应时间≤90s，稳定性1h≤5.0%。</w:t>
      </w:r>
    </w:p>
    <w:p w14:paraId="0DE46A36">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CO：量程0～10000mg/m3，分辨率不高于1mg/m3，示值误差优于±5%，重复性≤2%，响应时间≤90s，CO2：量程0～20% ，分辨率不高于0.01%。</w:t>
      </w:r>
    </w:p>
    <w:p w14:paraId="0ECB5470">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O2传感器量程0～30.0%，分辨率不高于0.1%，示值误差优于±5%，重复性≤2%，响应时间≤90s。</w:t>
      </w:r>
    </w:p>
    <w:p w14:paraId="297316B8">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2.15数据存储:不小于5000组。</w:t>
      </w:r>
    </w:p>
    <w:p w14:paraId="3F3B560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2.16内置充电电池，可单独工作不小于4小时，具备掉电保护功能。</w:t>
      </w:r>
    </w:p>
    <w:p w14:paraId="625F30F0">
      <w:pPr>
        <w:spacing w:line="480" w:lineRule="exact"/>
        <w:ind w:firstLine="482" w:firstLineChars="200"/>
        <w:outlineLvl w:val="9"/>
        <w:rPr>
          <w:rFonts w:hint="eastAsia" w:ascii="宋体" w:hAnsi="宋体" w:cs="宋体"/>
          <w:b/>
          <w:bCs/>
          <w:color w:val="auto"/>
          <w:sz w:val="24"/>
          <w:highlight w:val="none"/>
        </w:rPr>
      </w:pPr>
      <w:bookmarkStart w:id="177" w:name="_Toc15707"/>
      <w:r>
        <w:rPr>
          <w:rFonts w:hint="eastAsia" w:ascii="宋体" w:hAnsi="宋体" w:cs="宋体"/>
          <w:b/>
          <w:bCs/>
          <w:color w:val="auto"/>
          <w:sz w:val="24"/>
          <w:highlight w:val="none"/>
        </w:rPr>
        <w:t>三、配置要求</w:t>
      </w:r>
      <w:bookmarkEnd w:id="177"/>
    </w:p>
    <w:p w14:paraId="78E5597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3.1主机、电源线（带漏电保护器）、硅胶干燥筒1个、2.0米低浓度颗粒物采样枪1条、、压膜器1个、4.0米低浓度颗粒物采样枪1条、蓝牙打印机1个、打印机纸20卷、仪器运输保护箱。</w:t>
      </w:r>
    </w:p>
    <w:p w14:paraId="11A5910F">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3.2低浓度采样头（6mm、7mm、8mm、10mm、12mm各8套），8mm、10mm另外加配12个；</w:t>
      </w:r>
    </w:p>
    <w:p w14:paraId="17BA9EBB">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3.3SO2双量程、NO\CO\CO2\O2</w:t>
      </w:r>
    </w:p>
    <w:p w14:paraId="6D681AD6">
      <w:pPr>
        <w:spacing w:line="480" w:lineRule="exact"/>
        <w:ind w:firstLine="482" w:firstLineChars="200"/>
        <w:outlineLvl w:val="9"/>
        <w:rPr>
          <w:rFonts w:hint="eastAsia" w:ascii="宋体" w:hAnsi="宋体" w:cs="宋体"/>
          <w:b/>
          <w:bCs/>
          <w:color w:val="auto"/>
          <w:sz w:val="24"/>
          <w:highlight w:val="none"/>
        </w:rPr>
      </w:pPr>
      <w:bookmarkStart w:id="178" w:name="_Toc3595"/>
      <w:r>
        <w:rPr>
          <w:rFonts w:hint="eastAsia" w:ascii="宋体" w:hAnsi="宋体" w:cs="宋体"/>
          <w:b/>
          <w:bCs/>
          <w:color w:val="auto"/>
          <w:sz w:val="24"/>
          <w:highlight w:val="none"/>
        </w:rPr>
        <w:t>四、技术服务和培训</w:t>
      </w:r>
      <w:bookmarkEnd w:id="178"/>
    </w:p>
    <w:p w14:paraId="4DDA78B4">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仪器安装、验收：中标人免费送达采购人指定地后，采购人通知后两周内进行安装调试及现场培训，直至通过验收。</w:t>
      </w:r>
    </w:p>
    <w:p w14:paraId="5155800F">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质保期：中标人至少提供2年质保期，自验收通过之日起计，质保期内所有服务全部免费。</w:t>
      </w:r>
    </w:p>
    <w:p w14:paraId="581EA427">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4.3维修响应时间：中标人对采购人的服务要求应在2小时内响应；需要在现场进行维修的，应在2个工作日内到达仪器现场。</w:t>
      </w:r>
    </w:p>
    <w:p w14:paraId="2A8C4ACE">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4.4培训：中标人免费对采购人技术人员的操作、维修、保养等方面进行培训，直至采购人独立操作和使用。</w:t>
      </w:r>
    </w:p>
    <w:p w14:paraId="631E841F">
      <w:pPr>
        <w:spacing w:line="480" w:lineRule="exact"/>
        <w:ind w:firstLine="482" w:firstLineChars="200"/>
        <w:outlineLvl w:val="9"/>
        <w:rPr>
          <w:rFonts w:hint="eastAsia" w:ascii="宋体" w:hAnsi="宋体" w:cs="宋体"/>
          <w:b/>
          <w:bCs/>
          <w:color w:val="auto"/>
          <w:sz w:val="24"/>
          <w:highlight w:val="none"/>
        </w:rPr>
      </w:pPr>
      <w:bookmarkStart w:id="179" w:name="_Toc6014"/>
      <w:r>
        <w:rPr>
          <w:rFonts w:hint="eastAsia" w:ascii="宋体" w:hAnsi="宋体" w:cs="宋体"/>
          <w:b/>
          <w:bCs/>
          <w:color w:val="auto"/>
          <w:sz w:val="24"/>
          <w:highlight w:val="none"/>
        </w:rPr>
        <w:t>五、验收技术参数指标</w:t>
      </w:r>
      <w:bookmarkEnd w:id="179"/>
    </w:p>
    <w:p w14:paraId="24BF7773">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5.1仪器采样流量和采样时间可单独控制，支持恒流采样，采样流量可控制在(0～100)L/min范围内；</w:t>
      </w:r>
    </w:p>
    <w:p w14:paraId="6056369D">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5.2低浓度颗粒物采样枪2.0米、4.0米各1条，匹配6mm、7mm、8mm、10mm、12mm采样滤膜套装各尺寸各8套，8mm、10mm采样头另外增配各12个；</w:t>
      </w:r>
    </w:p>
    <w:p w14:paraId="667A1BF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5.3仪器流量计20L/min、40L/min、50L/min、烟气分析各成分传感器高中低量程段测量值通过计量监测机构检定，并提供SO2传感器干扰试验报告，提供符合相关标准的检定证书。</w:t>
      </w:r>
    </w:p>
    <w:p w14:paraId="4D3FEE86">
      <w:pPr>
        <w:spacing w:line="480" w:lineRule="exact"/>
        <w:ind w:firstLine="480" w:firstLineChars="200"/>
        <w:rPr>
          <w:rFonts w:hint="eastAsia" w:ascii="宋体" w:hAnsi="宋体" w:cs="宋体"/>
          <w:color w:val="auto"/>
          <w:sz w:val="24"/>
          <w:highlight w:val="none"/>
        </w:rPr>
      </w:pPr>
    </w:p>
    <w:p w14:paraId="1B1AC8E7">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80" w:name="_Toc15729"/>
      <w:r>
        <w:rPr>
          <w:rFonts w:hint="eastAsia" w:ascii="宋体" w:hAnsi="宋体" w:eastAsia="宋体" w:cs="宋体"/>
          <w:color w:val="auto"/>
          <w:sz w:val="24"/>
          <w:szCs w:val="24"/>
          <w:highlight w:val="none"/>
          <w:lang w:val="en-US" w:eastAsia="zh-CN"/>
        </w:rPr>
        <w:t>便携式多气体检测仪</w:t>
      </w:r>
      <w:bookmarkEnd w:id="180"/>
    </w:p>
    <w:p w14:paraId="4C9BBDA6">
      <w:pPr>
        <w:spacing w:line="480" w:lineRule="exact"/>
        <w:ind w:firstLine="482" w:firstLineChars="200"/>
        <w:jc w:val="left"/>
        <w:outlineLvl w:val="9"/>
        <w:rPr>
          <w:rFonts w:hint="eastAsia" w:ascii="宋体" w:hAnsi="宋体" w:cs="宋体"/>
          <w:b/>
          <w:bCs/>
          <w:color w:val="auto"/>
          <w:sz w:val="24"/>
          <w:highlight w:val="none"/>
        </w:rPr>
      </w:pPr>
      <w:bookmarkStart w:id="181" w:name="_Toc15308"/>
      <w:r>
        <w:rPr>
          <w:rFonts w:hint="eastAsia" w:ascii="宋体" w:hAnsi="宋体" w:cs="宋体"/>
          <w:b/>
          <w:bCs/>
          <w:color w:val="auto"/>
          <w:sz w:val="24"/>
          <w:highlight w:val="none"/>
        </w:rPr>
        <w:t>一、基本要求</w:t>
      </w:r>
      <w:bookmarkEnd w:id="181"/>
    </w:p>
    <w:p w14:paraId="0DC762F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适用于污染源执法或突发环境污染事件中气体的快速检测。设备原理为电化学法，符合GB12358-2006《作业场所环境气体检测报警仪通用技术要求》，HJ872-2017《环境空气 氯气等有毒有害气体的应急监测 电化学传感器法》。</w:t>
      </w:r>
    </w:p>
    <w:p w14:paraId="352D945F">
      <w:pPr>
        <w:spacing w:line="480" w:lineRule="exact"/>
        <w:ind w:firstLine="482" w:firstLineChars="200"/>
        <w:jc w:val="left"/>
        <w:outlineLvl w:val="9"/>
        <w:rPr>
          <w:rFonts w:hint="eastAsia" w:ascii="宋体" w:hAnsi="宋体" w:cs="宋体"/>
          <w:b/>
          <w:bCs/>
          <w:color w:val="auto"/>
          <w:sz w:val="24"/>
          <w:highlight w:val="none"/>
        </w:rPr>
      </w:pPr>
      <w:bookmarkStart w:id="182" w:name="_Toc29463"/>
      <w:r>
        <w:rPr>
          <w:rFonts w:hint="eastAsia" w:ascii="宋体" w:hAnsi="宋体" w:cs="宋体"/>
          <w:b/>
          <w:bCs/>
          <w:color w:val="auto"/>
          <w:sz w:val="24"/>
          <w:highlight w:val="none"/>
        </w:rPr>
        <w:t>二、技术参数</w:t>
      </w:r>
      <w:bookmarkEnd w:id="182"/>
    </w:p>
    <w:p w14:paraId="30A1E22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2.1显示终端与仪器分体式设计。</w:t>
      </w:r>
    </w:p>
    <w:p w14:paraId="4D6D72E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2.2仪器传感器采用模块化设计，自动获取传感器信息。</w:t>
      </w:r>
    </w:p>
    <w:p w14:paraId="7ADE742A">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仪器具备防爆设计，内置锂电池，连续工作不低于8小时以上。</w:t>
      </w:r>
    </w:p>
    <w:p w14:paraId="431B647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可独立设置不同种类有毒有害气体的限值。</w:t>
      </w:r>
    </w:p>
    <w:p w14:paraId="0CE9468E">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 现场气体浓度超限时，具备声光报警提示功能。</w:t>
      </w:r>
    </w:p>
    <w:p w14:paraId="6C446098">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2.6实时测量大气压、环境温度、环境相对湿度参数。</w:t>
      </w:r>
    </w:p>
    <w:p w14:paraId="163A8B1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▲2.7传感器量程及要求</w:t>
      </w:r>
    </w:p>
    <w:tbl>
      <w:tblPr>
        <w:tblStyle w:val="34"/>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939"/>
        <w:gridCol w:w="2483"/>
        <w:gridCol w:w="2455"/>
      </w:tblGrid>
      <w:tr w14:paraId="5BA6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shd w:val="clear" w:color="auto" w:fill="auto"/>
          </w:tcPr>
          <w:p w14:paraId="5EF71CDD">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配置</w:t>
            </w:r>
          </w:p>
        </w:tc>
        <w:tc>
          <w:tcPr>
            <w:tcW w:w="1939" w:type="dxa"/>
            <w:shd w:val="clear" w:color="auto" w:fill="auto"/>
          </w:tcPr>
          <w:p w14:paraId="491B41DF">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w:t>
            </w:r>
          </w:p>
        </w:tc>
        <w:tc>
          <w:tcPr>
            <w:tcW w:w="2483" w:type="dxa"/>
            <w:shd w:val="clear" w:color="auto" w:fill="auto"/>
          </w:tcPr>
          <w:p w14:paraId="35BADDF5">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量程</w:t>
            </w:r>
          </w:p>
        </w:tc>
        <w:tc>
          <w:tcPr>
            <w:tcW w:w="2455" w:type="dxa"/>
            <w:shd w:val="clear" w:color="auto" w:fill="auto"/>
          </w:tcPr>
          <w:p w14:paraId="5CE1C09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分辨率</w:t>
            </w:r>
          </w:p>
        </w:tc>
      </w:tr>
      <w:tr w14:paraId="05CD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13" w:type="dxa"/>
            <w:vMerge w:val="restart"/>
            <w:shd w:val="clear" w:color="auto" w:fill="auto"/>
            <w:vAlign w:val="center"/>
          </w:tcPr>
          <w:p w14:paraId="1673AA5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传感器模块</w:t>
            </w:r>
          </w:p>
        </w:tc>
        <w:tc>
          <w:tcPr>
            <w:tcW w:w="1939" w:type="dxa"/>
            <w:shd w:val="clear" w:color="auto" w:fill="auto"/>
          </w:tcPr>
          <w:p w14:paraId="6E59A87C">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大气压</w:t>
            </w:r>
          </w:p>
        </w:tc>
        <w:tc>
          <w:tcPr>
            <w:tcW w:w="2483" w:type="dxa"/>
            <w:shd w:val="clear" w:color="auto" w:fill="auto"/>
          </w:tcPr>
          <w:p w14:paraId="00A18CB2">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60～105kPa</w:t>
            </w:r>
          </w:p>
        </w:tc>
        <w:tc>
          <w:tcPr>
            <w:tcW w:w="2455" w:type="dxa"/>
            <w:shd w:val="clear" w:color="auto" w:fill="auto"/>
          </w:tcPr>
          <w:p w14:paraId="509F2EA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0.01kPa</w:t>
            </w:r>
          </w:p>
        </w:tc>
      </w:tr>
      <w:tr w14:paraId="467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3B9AF049">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4200F005">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环境温度</w:t>
            </w:r>
          </w:p>
        </w:tc>
        <w:tc>
          <w:tcPr>
            <w:tcW w:w="2483" w:type="dxa"/>
            <w:shd w:val="clear" w:color="auto" w:fill="auto"/>
          </w:tcPr>
          <w:p w14:paraId="3904BEF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-10~35℃</w:t>
            </w:r>
          </w:p>
        </w:tc>
        <w:tc>
          <w:tcPr>
            <w:tcW w:w="2455" w:type="dxa"/>
            <w:shd w:val="clear" w:color="auto" w:fill="auto"/>
          </w:tcPr>
          <w:p w14:paraId="061DF633">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w:t>
            </w:r>
          </w:p>
        </w:tc>
      </w:tr>
      <w:tr w14:paraId="4FCD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6EA79EE2">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2F873B1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环境湿度</w:t>
            </w:r>
          </w:p>
        </w:tc>
        <w:tc>
          <w:tcPr>
            <w:tcW w:w="2483" w:type="dxa"/>
            <w:shd w:val="clear" w:color="auto" w:fill="auto"/>
          </w:tcPr>
          <w:p w14:paraId="71F2A5EA">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0~90%RH</w:t>
            </w:r>
          </w:p>
        </w:tc>
        <w:tc>
          <w:tcPr>
            <w:tcW w:w="2455" w:type="dxa"/>
            <w:shd w:val="clear" w:color="auto" w:fill="auto"/>
          </w:tcPr>
          <w:p w14:paraId="04D3E392">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0.01%RH</w:t>
            </w:r>
          </w:p>
        </w:tc>
      </w:tr>
      <w:tr w14:paraId="0106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2BBCB9BC">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022E2782">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氨气</w:t>
            </w:r>
          </w:p>
        </w:tc>
        <w:tc>
          <w:tcPr>
            <w:tcW w:w="2483" w:type="dxa"/>
            <w:shd w:val="clear" w:color="auto" w:fill="auto"/>
          </w:tcPr>
          <w:p w14:paraId="3FAE6145">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0～100 umol/mol</w:t>
            </w:r>
          </w:p>
        </w:tc>
        <w:tc>
          <w:tcPr>
            <w:tcW w:w="2455" w:type="dxa"/>
            <w:shd w:val="clear" w:color="auto" w:fill="auto"/>
          </w:tcPr>
          <w:p w14:paraId="1FD6730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 umol/mol</w:t>
            </w:r>
          </w:p>
        </w:tc>
      </w:tr>
      <w:tr w14:paraId="435F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7A93B8E4">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1028EB5C">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氯气</w:t>
            </w:r>
          </w:p>
        </w:tc>
        <w:tc>
          <w:tcPr>
            <w:tcW w:w="2483" w:type="dxa"/>
            <w:shd w:val="clear" w:color="auto" w:fill="auto"/>
          </w:tcPr>
          <w:p w14:paraId="0CD9D010">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0～50 umol/mol</w:t>
            </w:r>
          </w:p>
        </w:tc>
        <w:tc>
          <w:tcPr>
            <w:tcW w:w="2455" w:type="dxa"/>
            <w:shd w:val="clear" w:color="auto" w:fill="auto"/>
          </w:tcPr>
          <w:p w14:paraId="1B0FACAA">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 umol/mol</w:t>
            </w:r>
          </w:p>
        </w:tc>
      </w:tr>
      <w:tr w14:paraId="17FE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47B2B70E">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2E25732C">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硫化氢</w:t>
            </w:r>
          </w:p>
        </w:tc>
        <w:tc>
          <w:tcPr>
            <w:tcW w:w="2483" w:type="dxa"/>
            <w:shd w:val="clear" w:color="auto" w:fill="auto"/>
          </w:tcPr>
          <w:p w14:paraId="6DC025B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0～200 umol/mol</w:t>
            </w:r>
          </w:p>
        </w:tc>
        <w:tc>
          <w:tcPr>
            <w:tcW w:w="2455" w:type="dxa"/>
            <w:shd w:val="clear" w:color="auto" w:fill="auto"/>
          </w:tcPr>
          <w:p w14:paraId="7F73C94C">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 umol/mol</w:t>
            </w:r>
          </w:p>
        </w:tc>
      </w:tr>
      <w:tr w14:paraId="6B27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183B2BF7">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31125AA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氯化氢</w:t>
            </w:r>
          </w:p>
        </w:tc>
        <w:tc>
          <w:tcPr>
            <w:tcW w:w="2483" w:type="dxa"/>
            <w:shd w:val="clear" w:color="auto" w:fill="auto"/>
          </w:tcPr>
          <w:p w14:paraId="282B994C">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0～50 umol/mol</w:t>
            </w:r>
          </w:p>
        </w:tc>
        <w:tc>
          <w:tcPr>
            <w:tcW w:w="2455" w:type="dxa"/>
            <w:shd w:val="clear" w:color="auto" w:fill="auto"/>
          </w:tcPr>
          <w:p w14:paraId="2BA4C50A">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 umol/mol</w:t>
            </w:r>
          </w:p>
        </w:tc>
      </w:tr>
      <w:tr w14:paraId="3907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712DA5BC">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7F3C1BB3">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一氧化碳</w:t>
            </w:r>
          </w:p>
        </w:tc>
        <w:tc>
          <w:tcPr>
            <w:tcW w:w="2483" w:type="dxa"/>
            <w:shd w:val="clear" w:color="auto" w:fill="auto"/>
          </w:tcPr>
          <w:p w14:paraId="3FFF8C5A">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0～1000 umol/mol</w:t>
            </w:r>
          </w:p>
        </w:tc>
        <w:tc>
          <w:tcPr>
            <w:tcW w:w="2455" w:type="dxa"/>
            <w:shd w:val="clear" w:color="auto" w:fill="auto"/>
          </w:tcPr>
          <w:p w14:paraId="49B828F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 umol/mol</w:t>
            </w:r>
          </w:p>
        </w:tc>
      </w:tr>
      <w:tr w14:paraId="6AAC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72C56D6F">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1B042653">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氰化氢</w:t>
            </w:r>
          </w:p>
        </w:tc>
        <w:tc>
          <w:tcPr>
            <w:tcW w:w="2483" w:type="dxa"/>
            <w:shd w:val="clear" w:color="auto" w:fill="auto"/>
          </w:tcPr>
          <w:p w14:paraId="093F005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0～30 umol/mol</w:t>
            </w:r>
          </w:p>
        </w:tc>
        <w:tc>
          <w:tcPr>
            <w:tcW w:w="2455" w:type="dxa"/>
            <w:shd w:val="clear" w:color="auto" w:fill="auto"/>
          </w:tcPr>
          <w:p w14:paraId="50FBE5D0">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 umol/mol</w:t>
            </w:r>
          </w:p>
        </w:tc>
      </w:tr>
      <w:tr w14:paraId="0871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6B4E237C">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2FB43E7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光气</w:t>
            </w:r>
          </w:p>
        </w:tc>
        <w:tc>
          <w:tcPr>
            <w:tcW w:w="2483" w:type="dxa"/>
            <w:shd w:val="clear" w:color="auto" w:fill="auto"/>
          </w:tcPr>
          <w:p w14:paraId="30CD1CCB">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 umol/mol</w:t>
            </w:r>
          </w:p>
        </w:tc>
        <w:tc>
          <w:tcPr>
            <w:tcW w:w="2455" w:type="dxa"/>
            <w:shd w:val="clear" w:color="auto" w:fill="auto"/>
          </w:tcPr>
          <w:p w14:paraId="47D66F1D">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0.001 umol/mol</w:t>
            </w:r>
          </w:p>
        </w:tc>
      </w:tr>
      <w:tr w14:paraId="1954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04E5D342">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7FE64CD6">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氟化氢</w:t>
            </w:r>
          </w:p>
        </w:tc>
        <w:tc>
          <w:tcPr>
            <w:tcW w:w="2483" w:type="dxa"/>
            <w:shd w:val="clear" w:color="auto" w:fill="auto"/>
          </w:tcPr>
          <w:p w14:paraId="411EA0FB">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0～10 umol/mol</w:t>
            </w:r>
          </w:p>
        </w:tc>
        <w:tc>
          <w:tcPr>
            <w:tcW w:w="2455" w:type="dxa"/>
            <w:shd w:val="clear" w:color="auto" w:fill="auto"/>
          </w:tcPr>
          <w:p w14:paraId="4F12A51C">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0.001 umol/mol</w:t>
            </w:r>
          </w:p>
        </w:tc>
      </w:tr>
      <w:tr w14:paraId="20B3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6C1C5207">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1583C4D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二氧化硫</w:t>
            </w:r>
          </w:p>
        </w:tc>
        <w:tc>
          <w:tcPr>
            <w:tcW w:w="2483" w:type="dxa"/>
            <w:shd w:val="clear" w:color="auto" w:fill="auto"/>
          </w:tcPr>
          <w:p w14:paraId="7B232DF7">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0～100 umol/mol</w:t>
            </w:r>
          </w:p>
        </w:tc>
        <w:tc>
          <w:tcPr>
            <w:tcW w:w="2455" w:type="dxa"/>
            <w:shd w:val="clear" w:color="auto" w:fill="auto"/>
          </w:tcPr>
          <w:p w14:paraId="0FA74FF9">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 umol/mol</w:t>
            </w:r>
          </w:p>
        </w:tc>
      </w:tr>
      <w:tr w14:paraId="4E9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vMerge w:val="continue"/>
            <w:shd w:val="clear" w:color="auto" w:fill="auto"/>
            <w:vAlign w:val="center"/>
          </w:tcPr>
          <w:p w14:paraId="2B9A282F">
            <w:pPr>
              <w:pStyle w:val="25"/>
              <w:spacing w:line="480" w:lineRule="exact"/>
              <w:rPr>
                <w:rFonts w:hint="eastAsia" w:ascii="宋体" w:hAnsi="宋体" w:cs="宋体"/>
                <w:color w:val="auto"/>
                <w:kern w:val="0"/>
                <w:sz w:val="24"/>
                <w:szCs w:val="24"/>
                <w:highlight w:val="none"/>
              </w:rPr>
            </w:pPr>
          </w:p>
        </w:tc>
        <w:tc>
          <w:tcPr>
            <w:tcW w:w="1939" w:type="dxa"/>
            <w:shd w:val="clear" w:color="auto" w:fill="auto"/>
          </w:tcPr>
          <w:p w14:paraId="540464F8">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甲烷</w:t>
            </w:r>
          </w:p>
        </w:tc>
        <w:tc>
          <w:tcPr>
            <w:tcW w:w="2483" w:type="dxa"/>
            <w:shd w:val="clear" w:color="auto" w:fill="auto"/>
          </w:tcPr>
          <w:p w14:paraId="47A26C63">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0-100%</w:t>
            </w:r>
          </w:p>
        </w:tc>
        <w:tc>
          <w:tcPr>
            <w:tcW w:w="2455" w:type="dxa"/>
            <w:shd w:val="clear" w:color="auto" w:fill="auto"/>
          </w:tcPr>
          <w:p w14:paraId="3D24FA31">
            <w:pPr>
              <w:pStyle w:val="25"/>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0.01%</w:t>
            </w:r>
          </w:p>
        </w:tc>
      </w:tr>
    </w:tbl>
    <w:p w14:paraId="436A32A0">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2.8至少储存不少于2000个数据，数据能通过 U 盘导出。</w:t>
      </w:r>
    </w:p>
    <w:p w14:paraId="5C24ED8E">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2.9具有umol/mol和mg/m3双单位换算功能。</w:t>
      </w:r>
    </w:p>
    <w:p w14:paraId="0FBA3ABA">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2.10防护等级不低于IP66（提供有资质的第三方检测报告）。</w:t>
      </w:r>
    </w:p>
    <w:p w14:paraId="766BB8C0">
      <w:pPr>
        <w:spacing w:line="480" w:lineRule="exact"/>
        <w:ind w:firstLine="482" w:firstLineChars="200"/>
        <w:jc w:val="left"/>
        <w:outlineLvl w:val="9"/>
        <w:rPr>
          <w:rFonts w:hint="eastAsia" w:ascii="宋体" w:hAnsi="宋体" w:cs="宋体"/>
          <w:b/>
          <w:bCs/>
          <w:color w:val="auto"/>
          <w:sz w:val="24"/>
          <w:highlight w:val="none"/>
        </w:rPr>
      </w:pPr>
      <w:bookmarkStart w:id="183" w:name="_Toc26212"/>
      <w:r>
        <w:rPr>
          <w:rFonts w:hint="eastAsia" w:ascii="宋体" w:hAnsi="宋体" w:cs="宋体"/>
          <w:b/>
          <w:bCs/>
          <w:color w:val="auto"/>
          <w:sz w:val="24"/>
          <w:highlight w:val="none"/>
        </w:rPr>
        <w:t>三、配置要求</w:t>
      </w:r>
      <w:bookmarkEnd w:id="183"/>
    </w:p>
    <w:p w14:paraId="1D9B8D0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3.1主机1台，便携式背包1个。</w:t>
      </w:r>
    </w:p>
    <w:p w14:paraId="1D25657B">
      <w:pPr>
        <w:tabs>
          <w:tab w:val="left" w:pos="3000"/>
        </w:tabs>
        <w:spacing w:line="480" w:lineRule="exact"/>
        <w:ind w:firstLine="480" w:firstLineChars="200"/>
        <w:rPr>
          <w:rFonts w:hint="eastAsia" w:ascii="宋体" w:hAnsi="宋体" w:cs="宋体"/>
          <w:color w:val="auto"/>
          <w:sz w:val="24"/>
          <w:highlight w:val="none"/>
          <w:lang w:val="en-GB"/>
        </w:rPr>
      </w:pPr>
      <w:r>
        <w:rPr>
          <w:rFonts w:hint="eastAsia"/>
          <w:color w:val="auto"/>
          <w:sz w:val="24"/>
          <w:highlight w:val="none"/>
          <w:lang w:val="en-US" w:eastAsia="zh-CN"/>
        </w:rPr>
        <w:t>3.2配置</w:t>
      </w:r>
      <w:r>
        <w:rPr>
          <w:rFonts w:hint="eastAsia"/>
          <w:color w:val="auto"/>
          <w:sz w:val="24"/>
          <w:highlight w:val="none"/>
        </w:rPr>
        <w:t>25L高压灭菌锅（最大灭菌温度135℃）1个</w:t>
      </w:r>
      <w:r>
        <w:rPr>
          <w:rFonts w:hint="eastAsia"/>
          <w:color w:val="auto"/>
          <w:sz w:val="24"/>
          <w:highlight w:val="none"/>
          <w:lang w:eastAsia="zh-CN"/>
        </w:rPr>
        <w:t>（</w:t>
      </w:r>
      <w:r>
        <w:rPr>
          <w:rFonts w:hint="eastAsia"/>
          <w:color w:val="auto"/>
          <w:sz w:val="24"/>
          <w:highlight w:val="none"/>
          <w:lang w:val="en-US" w:eastAsia="zh-CN"/>
        </w:rPr>
        <w:t>3台</w:t>
      </w:r>
      <w:r>
        <w:rPr>
          <w:rFonts w:hint="eastAsia" w:ascii="宋体" w:hAnsi="宋体" w:eastAsia="宋体" w:cs="宋体"/>
          <w:color w:val="auto"/>
          <w:sz w:val="24"/>
          <w:szCs w:val="24"/>
          <w:highlight w:val="none"/>
          <w:lang w:val="en-US" w:eastAsia="zh-CN"/>
        </w:rPr>
        <w:t>便携式多气体检测仪</w:t>
      </w:r>
      <w:r>
        <w:rPr>
          <w:rFonts w:hint="eastAsia" w:ascii="宋体" w:hAnsi="宋体" w:cs="宋体"/>
          <w:color w:val="auto"/>
          <w:sz w:val="24"/>
          <w:szCs w:val="24"/>
          <w:highlight w:val="none"/>
          <w:lang w:val="en-US" w:eastAsia="zh-CN"/>
        </w:rPr>
        <w:t>，仅需配置1个</w:t>
      </w:r>
      <w:r>
        <w:rPr>
          <w:rFonts w:hint="eastAsia"/>
          <w:color w:val="auto"/>
          <w:sz w:val="24"/>
          <w:highlight w:val="none"/>
          <w:lang w:eastAsia="zh-CN"/>
        </w:rPr>
        <w:t>）</w:t>
      </w:r>
      <w:r>
        <w:rPr>
          <w:rFonts w:hint="eastAsia" w:ascii="宋体" w:hAnsi="宋体" w:cs="宋体"/>
          <w:color w:val="auto"/>
          <w:sz w:val="24"/>
          <w:highlight w:val="none"/>
          <w:lang w:val="en-GB"/>
        </w:rPr>
        <w:t>。</w:t>
      </w:r>
    </w:p>
    <w:p w14:paraId="737DC89D">
      <w:pPr>
        <w:spacing w:line="480" w:lineRule="exact"/>
        <w:ind w:firstLine="482" w:firstLineChars="200"/>
        <w:jc w:val="left"/>
        <w:outlineLvl w:val="9"/>
        <w:rPr>
          <w:rFonts w:hint="eastAsia" w:ascii="宋体" w:hAnsi="宋体" w:cs="宋体"/>
          <w:b/>
          <w:bCs/>
          <w:color w:val="auto"/>
          <w:sz w:val="24"/>
          <w:highlight w:val="none"/>
        </w:rPr>
      </w:pPr>
      <w:bookmarkStart w:id="184" w:name="_Toc6881"/>
      <w:r>
        <w:rPr>
          <w:rFonts w:hint="eastAsia" w:ascii="宋体" w:hAnsi="宋体" w:cs="宋体"/>
          <w:b/>
          <w:bCs/>
          <w:color w:val="auto"/>
          <w:sz w:val="24"/>
          <w:highlight w:val="none"/>
        </w:rPr>
        <w:t>四、技术服务和培训</w:t>
      </w:r>
      <w:bookmarkEnd w:id="184"/>
    </w:p>
    <w:p w14:paraId="3B861A09">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4.1质保期：质保2年，质保期内免费提供维修服务和配件更换。</w:t>
      </w:r>
    </w:p>
    <w:p w14:paraId="22A18D6F">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4.2培训：提供仪器设备现场培训（包括仪器基本原理、操作使用及日常保养维护等）。</w:t>
      </w:r>
    </w:p>
    <w:p w14:paraId="2ABB9DB6">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4.3传感器超过有效期后，免费对现有配置传感器进行更换一次。</w:t>
      </w:r>
    </w:p>
    <w:p w14:paraId="7A9E2668">
      <w:pPr>
        <w:spacing w:line="480" w:lineRule="exact"/>
        <w:ind w:firstLine="482" w:firstLineChars="200"/>
        <w:jc w:val="left"/>
        <w:outlineLvl w:val="9"/>
        <w:rPr>
          <w:rFonts w:hint="eastAsia" w:ascii="宋体" w:hAnsi="宋体" w:cs="宋体"/>
          <w:b/>
          <w:bCs/>
          <w:color w:val="auto"/>
          <w:sz w:val="24"/>
          <w:highlight w:val="none"/>
        </w:rPr>
      </w:pPr>
      <w:bookmarkStart w:id="185" w:name="_Toc1126"/>
      <w:r>
        <w:rPr>
          <w:rFonts w:hint="eastAsia" w:ascii="宋体" w:hAnsi="宋体" w:cs="宋体"/>
          <w:b/>
          <w:bCs/>
          <w:color w:val="auto"/>
          <w:sz w:val="24"/>
          <w:highlight w:val="none"/>
        </w:rPr>
        <w:t>五、验收指标</w:t>
      </w:r>
      <w:bookmarkEnd w:id="185"/>
    </w:p>
    <w:p w14:paraId="2034551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5.1传感器量程满足要求。</w:t>
      </w:r>
    </w:p>
    <w:p w14:paraId="5D2EB631">
      <w:pPr>
        <w:spacing w:line="480" w:lineRule="exact"/>
        <w:ind w:firstLine="480" w:firstLineChars="200"/>
        <w:rPr>
          <w:rFonts w:ascii="宋体" w:hAnsi="宋体" w:cs="宋体"/>
          <w:color w:val="auto"/>
          <w:sz w:val="24"/>
          <w:highlight w:val="none"/>
        </w:rPr>
      </w:pPr>
    </w:p>
    <w:p w14:paraId="24770C8C">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86" w:name="_Toc17178"/>
      <w:r>
        <w:rPr>
          <w:rFonts w:hint="eastAsia" w:ascii="宋体" w:hAnsi="宋体" w:eastAsia="宋体" w:cs="宋体"/>
          <w:color w:val="auto"/>
          <w:sz w:val="24"/>
          <w:szCs w:val="24"/>
          <w:highlight w:val="none"/>
          <w:lang w:val="en-US" w:eastAsia="zh-CN"/>
        </w:rPr>
        <w:t>多气路环境空气采样器</w:t>
      </w:r>
      <w:bookmarkEnd w:id="186"/>
    </w:p>
    <w:p w14:paraId="2036FB31">
      <w:pPr>
        <w:spacing w:line="480" w:lineRule="exact"/>
        <w:ind w:firstLine="482" w:firstLineChars="200"/>
        <w:jc w:val="left"/>
        <w:outlineLvl w:val="9"/>
        <w:rPr>
          <w:rFonts w:hint="eastAsia" w:ascii="宋体" w:hAnsi="宋体" w:cs="宋体"/>
          <w:b/>
          <w:bCs/>
          <w:color w:val="auto"/>
          <w:sz w:val="24"/>
          <w:highlight w:val="none"/>
        </w:rPr>
      </w:pPr>
      <w:bookmarkStart w:id="187" w:name="_Toc16960"/>
      <w:r>
        <w:rPr>
          <w:rFonts w:hint="eastAsia" w:ascii="宋体" w:hAnsi="宋体" w:cs="宋体"/>
          <w:b/>
          <w:bCs/>
          <w:color w:val="auto"/>
          <w:sz w:val="24"/>
          <w:highlight w:val="none"/>
        </w:rPr>
        <w:t>一、基本要求</w:t>
      </w:r>
      <w:bookmarkEnd w:id="187"/>
    </w:p>
    <w:p w14:paraId="784F3B5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适用于环境空气和废气监测等场景，同时采集气体和颗粒物的采样器，内置锂电池，符合HJ 93、HJ/T 374、HJ/T 375、HJ 618、HJ 1263等方法标准。</w:t>
      </w:r>
    </w:p>
    <w:p w14:paraId="12A3C5A8">
      <w:pPr>
        <w:spacing w:line="480" w:lineRule="exact"/>
        <w:ind w:firstLine="482" w:firstLineChars="200"/>
        <w:jc w:val="left"/>
        <w:outlineLvl w:val="9"/>
        <w:rPr>
          <w:rFonts w:hint="eastAsia" w:ascii="宋体" w:hAnsi="宋体" w:cs="宋体"/>
          <w:b/>
          <w:bCs/>
          <w:color w:val="auto"/>
          <w:sz w:val="24"/>
          <w:highlight w:val="none"/>
        </w:rPr>
      </w:pPr>
      <w:bookmarkStart w:id="188" w:name="_Toc4427"/>
      <w:r>
        <w:rPr>
          <w:rFonts w:hint="eastAsia" w:ascii="宋体" w:hAnsi="宋体" w:cs="宋体"/>
          <w:b/>
          <w:bCs/>
          <w:color w:val="auto"/>
          <w:sz w:val="24"/>
          <w:highlight w:val="none"/>
        </w:rPr>
        <w:t>二、技术参数</w:t>
      </w:r>
      <w:bookmarkEnd w:id="188"/>
    </w:p>
    <w:p w14:paraId="2FE2841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2.1内置北斗定位模块，具有时间日期自动授时功能。</w:t>
      </w:r>
    </w:p>
    <w:p w14:paraId="1FF239D4">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2.2具备不少于4个环境空气和1个颗粒物同时采样功能，采样流量和采样时间均可单独控制。</w:t>
      </w:r>
    </w:p>
    <w:p w14:paraId="2AA13AD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2.3环境空气样品具备恒温恒流采样功能。</w:t>
      </w:r>
    </w:p>
    <w:p w14:paraId="065AB56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2.4颗粒物在流量100L/min下，负载能力≥6kPa。</w:t>
      </w:r>
    </w:p>
    <w:p w14:paraId="60EEEB5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2.5采样时间范围1min～99h59min，分辨率不高于1s，最大允许误差≤±0.1%。</w:t>
      </w:r>
    </w:p>
    <w:p w14:paraId="48C7532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 颗粒物采样流量满足0～130L/min，分辨率不高于0.1L/min，最大允许误差≤±5.0%。</w:t>
      </w:r>
    </w:p>
    <w:p w14:paraId="21CDE44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2.7气态大流量采样满足0.1～1.0L/min，分辨率不高于0.01L/min，最大允许误差≤±5.0%。</w:t>
      </w:r>
    </w:p>
    <w:p w14:paraId="72BA1FF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2.8气态小流量采样满足10～200mL/min，分辨率不高于1mL/min，最大允许误差≤±5.0%。</w:t>
      </w:r>
    </w:p>
    <w:p w14:paraId="696A750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2.9环境大气压60～130kPa，分辨率不少于0.01kPa，最大允许误差≤±0.5kPa。</w:t>
      </w:r>
    </w:p>
    <w:p w14:paraId="3419072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2.10环境温度-20～45℃，分辨率不少于0.1℃，最大允许误差≤±0.1℃。</w:t>
      </w:r>
    </w:p>
    <w:p w14:paraId="3F33588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2.11保温箱恒温范围20～30℃，分辨率不高于0.1℃，温度可调。</w:t>
      </w:r>
    </w:p>
    <w:p w14:paraId="2FD8F1B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2.12内置数据存储器，可USB数据导出和蓝牙打印功能。</w:t>
      </w:r>
    </w:p>
    <w:p w14:paraId="30BDC0D0">
      <w:pPr>
        <w:spacing w:line="480" w:lineRule="exact"/>
        <w:ind w:firstLine="482" w:firstLineChars="200"/>
        <w:jc w:val="left"/>
        <w:outlineLvl w:val="9"/>
        <w:rPr>
          <w:rFonts w:hint="eastAsia" w:ascii="宋体" w:hAnsi="宋体" w:cs="宋体"/>
          <w:b/>
          <w:bCs/>
          <w:color w:val="auto"/>
          <w:sz w:val="24"/>
          <w:highlight w:val="none"/>
        </w:rPr>
      </w:pPr>
      <w:bookmarkStart w:id="189" w:name="_Toc28151"/>
      <w:r>
        <w:rPr>
          <w:rFonts w:hint="eastAsia" w:ascii="宋体" w:hAnsi="宋体" w:cs="宋体"/>
          <w:b/>
          <w:bCs/>
          <w:color w:val="auto"/>
          <w:sz w:val="24"/>
          <w:highlight w:val="none"/>
        </w:rPr>
        <w:t>三、配置要求</w:t>
      </w:r>
      <w:bookmarkEnd w:id="189"/>
    </w:p>
    <w:p w14:paraId="7A9AC26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3.1恒温型主机（内置锂电池）1台，便携式背包1个，TSP/PM10/PM2.5切割器1个，蓝牙打印机1个。</w:t>
      </w:r>
    </w:p>
    <w:p w14:paraId="1E20D744">
      <w:pPr>
        <w:spacing w:line="480" w:lineRule="exact"/>
        <w:ind w:firstLine="482" w:firstLineChars="200"/>
        <w:jc w:val="left"/>
        <w:outlineLvl w:val="9"/>
        <w:rPr>
          <w:rFonts w:hint="eastAsia" w:ascii="宋体" w:hAnsi="宋体" w:cs="宋体"/>
          <w:b/>
          <w:bCs/>
          <w:color w:val="auto"/>
          <w:sz w:val="24"/>
          <w:highlight w:val="none"/>
        </w:rPr>
      </w:pPr>
      <w:r>
        <w:rPr>
          <w:rFonts w:hint="eastAsia" w:ascii="宋体" w:hAnsi="宋体" w:cs="宋体"/>
          <w:b/>
          <w:bCs/>
          <w:color w:val="auto"/>
          <w:sz w:val="24"/>
          <w:highlight w:val="none"/>
        </w:rPr>
        <w:t>四、技术服务和培训</w:t>
      </w:r>
    </w:p>
    <w:p w14:paraId="6CEF0A44">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4.1质保期：质保2年，质保期内免费提供维修服务和配件更换。</w:t>
      </w:r>
    </w:p>
    <w:p w14:paraId="2969C63F">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4.2培训：提供仪器设备现场培训（包括仪器基本原理、操作使用及日常保养维护等）。</w:t>
      </w:r>
    </w:p>
    <w:p w14:paraId="59E715F5">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4.3验收前提供第三方计量机构出具的检定/校准证书。</w:t>
      </w:r>
    </w:p>
    <w:p w14:paraId="11424541">
      <w:pPr>
        <w:spacing w:line="480" w:lineRule="exact"/>
        <w:ind w:firstLine="482" w:firstLineChars="200"/>
        <w:jc w:val="left"/>
        <w:outlineLvl w:val="9"/>
        <w:rPr>
          <w:rFonts w:hint="eastAsia" w:ascii="宋体" w:hAnsi="宋体" w:cs="宋体"/>
          <w:b/>
          <w:bCs/>
          <w:color w:val="auto"/>
          <w:sz w:val="24"/>
          <w:highlight w:val="none"/>
        </w:rPr>
      </w:pPr>
      <w:bookmarkStart w:id="190" w:name="_Toc14720"/>
      <w:r>
        <w:rPr>
          <w:rFonts w:hint="eastAsia" w:ascii="宋体" w:hAnsi="宋体" w:cs="宋体"/>
          <w:b/>
          <w:bCs/>
          <w:color w:val="auto"/>
          <w:sz w:val="24"/>
          <w:highlight w:val="none"/>
        </w:rPr>
        <w:t>五、验收指标</w:t>
      </w:r>
      <w:bookmarkEnd w:id="190"/>
    </w:p>
    <w:p w14:paraId="36677BA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5.1恒温型主机（内置锂电池）1台，TSP/PM10/PM2.5切割器1个，蓝牙热敏打印机1个。</w:t>
      </w:r>
    </w:p>
    <w:p w14:paraId="3AFF4926">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5.2颗粒物采样流量100L/min时，流量误差≤±2.0%，气态大流量采样1.0L/min时，流量误差≤±5.0%,气态小流量采样200mL/min时，流量误差≤±5.0%。</w:t>
      </w:r>
    </w:p>
    <w:p w14:paraId="6EA6195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5.3提供符合相关标准的检定证书。</w:t>
      </w:r>
    </w:p>
    <w:p w14:paraId="29C7E7BF">
      <w:pPr>
        <w:spacing w:line="480" w:lineRule="exact"/>
        <w:ind w:firstLine="480" w:firstLineChars="200"/>
        <w:rPr>
          <w:rFonts w:hint="eastAsia" w:ascii="宋体" w:hAnsi="宋体" w:cs="宋体"/>
          <w:color w:val="auto"/>
          <w:sz w:val="24"/>
          <w:highlight w:val="none"/>
        </w:rPr>
      </w:pPr>
    </w:p>
    <w:p w14:paraId="00601F06">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91" w:name="_Toc30978"/>
      <w:r>
        <w:rPr>
          <w:rFonts w:hint="eastAsia" w:ascii="宋体" w:hAnsi="宋体" w:eastAsia="宋体" w:cs="宋体"/>
          <w:color w:val="auto"/>
          <w:sz w:val="24"/>
          <w:szCs w:val="24"/>
          <w:highlight w:val="none"/>
          <w:lang w:val="en-US" w:eastAsia="zh-CN"/>
        </w:rPr>
        <w:t>便携式流量压力综合校准装置</w:t>
      </w:r>
      <w:bookmarkEnd w:id="191"/>
    </w:p>
    <w:p w14:paraId="5F5DCC0C">
      <w:pPr>
        <w:rPr>
          <w:color w:val="auto"/>
          <w:highlight w:val="none"/>
        </w:rPr>
      </w:pPr>
    </w:p>
    <w:p w14:paraId="32BD2AE6">
      <w:pPr>
        <w:spacing w:line="480" w:lineRule="exact"/>
        <w:ind w:firstLine="482" w:firstLineChars="200"/>
        <w:outlineLvl w:val="9"/>
        <w:rPr>
          <w:rFonts w:hint="eastAsia" w:ascii="宋体" w:hAnsi="宋体" w:cs="宋体"/>
          <w:b/>
          <w:bCs/>
          <w:color w:val="auto"/>
          <w:sz w:val="24"/>
          <w:highlight w:val="none"/>
        </w:rPr>
      </w:pPr>
      <w:bookmarkStart w:id="192" w:name="_Toc13781"/>
      <w:r>
        <w:rPr>
          <w:rFonts w:hint="eastAsia" w:ascii="宋体" w:hAnsi="宋体" w:cs="宋体"/>
          <w:b/>
          <w:bCs/>
          <w:color w:val="auto"/>
          <w:sz w:val="24"/>
          <w:highlight w:val="none"/>
        </w:rPr>
        <w:t>一、基本要求</w:t>
      </w:r>
      <w:bookmarkEnd w:id="192"/>
    </w:p>
    <w:p w14:paraId="1E23862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适用于大气采样器、颗粒物采样器、烟尘测试仪的流量、压力、温度的校准，应满足JJG 943-2011《总悬浮颗粒物采样器》检定规程、JJG 680-2021《烟尘采样器》检定规程、JJG 1169-2019《烟气采样器》等标准中的相关要求。</w:t>
      </w:r>
    </w:p>
    <w:p w14:paraId="53DD9241">
      <w:pPr>
        <w:spacing w:line="480" w:lineRule="exact"/>
        <w:ind w:firstLine="482" w:firstLineChars="200"/>
        <w:outlineLvl w:val="9"/>
        <w:rPr>
          <w:rFonts w:hint="eastAsia" w:ascii="宋体" w:hAnsi="宋体" w:cs="宋体"/>
          <w:b/>
          <w:bCs/>
          <w:color w:val="auto"/>
          <w:sz w:val="24"/>
          <w:highlight w:val="none"/>
        </w:rPr>
      </w:pPr>
      <w:bookmarkStart w:id="193" w:name="_Toc8813"/>
      <w:r>
        <w:rPr>
          <w:rFonts w:hint="eastAsia" w:ascii="宋体" w:hAnsi="宋体" w:cs="宋体"/>
          <w:b/>
          <w:bCs/>
          <w:color w:val="auto"/>
          <w:sz w:val="24"/>
          <w:highlight w:val="none"/>
        </w:rPr>
        <w:t>二、技术参数</w:t>
      </w:r>
      <w:bookmarkEnd w:id="193"/>
    </w:p>
    <w:p w14:paraId="7640A186">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2.1主机至少配置6路流量</w:t>
      </w:r>
    </w:p>
    <w:p w14:paraId="288190AF">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2.2流量范围：（10～100）mL/min，分辨率不高于0.01 mL/min；</w:t>
      </w:r>
    </w:p>
    <w:p w14:paraId="0D985EEC">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（100～200）mL/min，分辨率不高于0.1 mL/min；</w:t>
      </w:r>
    </w:p>
    <w:p w14:paraId="297E32F1">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（200～2000）mL/min，分辨率不高于1mL/min；</w:t>
      </w:r>
    </w:p>
    <w:p w14:paraId="69750BA9">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（2～20）L/min，分辨率不高于0.01L/min；</w:t>
      </w:r>
    </w:p>
    <w:p w14:paraId="4A4D3081">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（20～200）L/min，分辨率不高于0.1L/min；</w:t>
      </w:r>
    </w:p>
    <w:p w14:paraId="0E4AA41A">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（200～1400）L/min，分辨率不高于0.1L/min。。</w:t>
      </w:r>
    </w:p>
    <w:p w14:paraId="608627C0">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2.3压力校验仪具有错误率计算功能。</w:t>
      </w:r>
    </w:p>
    <w:p w14:paraId="15AFD455">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2.4温度、大气压可测量也可手动输入。</w:t>
      </w:r>
    </w:p>
    <w:p w14:paraId="157183B8">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▲2.5直读流量，自动换算标况流量，流量重复性误差≤±0.5%。</w:t>
      </w:r>
    </w:p>
    <w:p w14:paraId="3ED6DE38">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2.6交直流两用，内置高能锂电池工作时间不小于5小时。</w:t>
      </w:r>
    </w:p>
    <w:p w14:paraId="5417E2E8">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2.7温度误差不高于±1.5℃。</w:t>
      </w:r>
    </w:p>
    <w:p w14:paraId="3368D2F2">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2.8压力满足：微压(0～5000)Pa，分辨率不高于0.1Pa，最大允许误差±1Pa。表压：(-30～30)kPa，分辨率不高于0.01kPa，最大允许误差±0.1kPa。</w:t>
      </w:r>
    </w:p>
    <w:p w14:paraId="577160A2">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2.9支持查询打印功能，数据存储不少于500组数据。</w:t>
      </w:r>
    </w:p>
    <w:p w14:paraId="33951512">
      <w:pPr>
        <w:spacing w:line="480" w:lineRule="exact"/>
        <w:ind w:firstLine="482" w:firstLineChars="200"/>
        <w:outlineLvl w:val="9"/>
        <w:rPr>
          <w:rFonts w:hint="eastAsia" w:ascii="宋体" w:hAnsi="宋体" w:cs="宋体"/>
          <w:b/>
          <w:bCs/>
          <w:color w:val="auto"/>
          <w:sz w:val="24"/>
          <w:highlight w:val="none"/>
        </w:rPr>
      </w:pPr>
      <w:bookmarkStart w:id="194" w:name="_Toc22471"/>
      <w:r>
        <w:rPr>
          <w:rFonts w:hint="eastAsia" w:ascii="宋体" w:hAnsi="宋体" w:cs="宋体"/>
          <w:b/>
          <w:bCs/>
          <w:color w:val="auto"/>
          <w:sz w:val="24"/>
          <w:highlight w:val="none"/>
        </w:rPr>
        <w:t>三、配置要求</w:t>
      </w:r>
      <w:bookmarkEnd w:id="194"/>
    </w:p>
    <w:p w14:paraId="795634C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主机1台，主机背包1个，电源线1根，附件箱1个。</w:t>
      </w:r>
    </w:p>
    <w:p w14:paraId="7B34471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烟温连接线 1根，湿球校准线 1根，大流量孔口流量计1个，大流量孔口底座模块1个。</w:t>
      </w:r>
    </w:p>
    <w:p w14:paraId="1F98BE49">
      <w:pPr>
        <w:spacing w:line="480" w:lineRule="exact"/>
        <w:ind w:firstLine="482" w:firstLineChars="200"/>
        <w:outlineLvl w:val="9"/>
        <w:rPr>
          <w:rFonts w:hint="eastAsia" w:ascii="宋体" w:hAnsi="宋体" w:cs="宋体"/>
          <w:b/>
          <w:bCs/>
          <w:color w:val="auto"/>
          <w:sz w:val="24"/>
          <w:highlight w:val="none"/>
        </w:rPr>
      </w:pPr>
      <w:bookmarkStart w:id="195" w:name="_Toc16708"/>
      <w:r>
        <w:rPr>
          <w:rFonts w:hint="eastAsia" w:ascii="宋体" w:hAnsi="宋体" w:cs="宋体"/>
          <w:b/>
          <w:bCs/>
          <w:color w:val="auto"/>
          <w:sz w:val="24"/>
          <w:highlight w:val="none"/>
        </w:rPr>
        <w:t>四、技术服务和培训</w:t>
      </w:r>
      <w:bookmarkEnd w:id="195"/>
    </w:p>
    <w:p w14:paraId="41C8CA84">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仪器安装、验收：中标人免费送达采购人指定地后，采购人通知后两周内进行安装调试及现场培训，直至通过验收。</w:t>
      </w:r>
    </w:p>
    <w:p w14:paraId="4F0DF52E">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仪器质保期2年，自验收通过之日起计。验收前提供第三方计量机构出具的检定/校准证书。</w:t>
      </w:r>
    </w:p>
    <w:p w14:paraId="6583CDA2">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4.3技术工程师上门做操作培训，直到采购人技术人员全部掌握为止，协助用户进行仪器日常的维护，并定期回访。</w:t>
      </w:r>
    </w:p>
    <w:p w14:paraId="0C74BD96">
      <w:pPr>
        <w:spacing w:line="480" w:lineRule="exact"/>
        <w:ind w:firstLine="482" w:firstLineChars="200"/>
        <w:outlineLvl w:val="9"/>
        <w:rPr>
          <w:rFonts w:hint="eastAsia" w:ascii="宋体" w:hAnsi="宋体" w:cs="宋体"/>
          <w:b/>
          <w:bCs/>
          <w:color w:val="auto"/>
          <w:sz w:val="24"/>
          <w:highlight w:val="none"/>
        </w:rPr>
      </w:pPr>
      <w:bookmarkStart w:id="196" w:name="_Toc14176"/>
      <w:r>
        <w:rPr>
          <w:rFonts w:hint="eastAsia" w:ascii="宋体" w:hAnsi="宋体" w:cs="宋体"/>
          <w:b/>
          <w:bCs/>
          <w:color w:val="auto"/>
          <w:sz w:val="24"/>
          <w:highlight w:val="none"/>
        </w:rPr>
        <w:t>五、验收技术参数指标</w:t>
      </w:r>
      <w:bookmarkEnd w:id="196"/>
    </w:p>
    <w:p w14:paraId="7599CF06">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5.1提供检定/校准证书。</w:t>
      </w:r>
    </w:p>
    <w:p w14:paraId="28A8077A">
      <w:pPr>
        <w:pStyle w:val="17"/>
        <w:spacing w:after="0" w:line="48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5.2流量重复性误差≤±0.5%。</w:t>
      </w:r>
    </w:p>
    <w:p w14:paraId="10C3B38A">
      <w:pPr>
        <w:pStyle w:val="17"/>
        <w:spacing w:after="0" w:line="480" w:lineRule="exact"/>
        <w:ind w:left="0" w:leftChars="0" w:firstLine="480" w:firstLineChars="200"/>
        <w:rPr>
          <w:rFonts w:ascii="宋体" w:hAnsi="宋体" w:cs="宋体"/>
          <w:color w:val="auto"/>
          <w:sz w:val="24"/>
          <w:highlight w:val="none"/>
        </w:rPr>
      </w:pPr>
    </w:p>
    <w:p w14:paraId="1BFD5FE8">
      <w:pPr>
        <w:pStyle w:val="17"/>
        <w:spacing w:after="0" w:line="480" w:lineRule="exact"/>
        <w:ind w:left="0" w:leftChars="0" w:firstLine="480" w:firstLineChars="200"/>
        <w:rPr>
          <w:rFonts w:ascii="宋体" w:hAnsi="宋体" w:cs="宋体"/>
          <w:color w:val="auto"/>
          <w:sz w:val="24"/>
          <w:highlight w:val="none"/>
        </w:rPr>
      </w:pPr>
    </w:p>
    <w:p w14:paraId="74A2ADED">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ascii="宋体" w:hAnsi="宋体" w:cs="Arial"/>
          <w:b/>
          <w:bCs/>
          <w:color w:val="auto"/>
          <w:kern w:val="0"/>
          <w:sz w:val="24"/>
          <w:highlight w:val="none"/>
        </w:rPr>
      </w:pPr>
      <w:bookmarkStart w:id="197" w:name="_Toc22159"/>
      <w:r>
        <w:rPr>
          <w:rFonts w:hint="eastAsia" w:ascii="宋体" w:hAnsi="宋体" w:cs="Arial"/>
          <w:b/>
          <w:bCs/>
          <w:color w:val="auto"/>
          <w:kern w:val="0"/>
          <w:sz w:val="24"/>
          <w:highlight w:val="none"/>
        </w:rPr>
        <w:t>动态气体配气仪</w:t>
      </w:r>
      <w:bookmarkEnd w:id="197"/>
    </w:p>
    <w:p w14:paraId="3CA742FB">
      <w:pPr>
        <w:spacing w:line="480" w:lineRule="exact"/>
        <w:ind w:firstLine="482" w:firstLineChars="200"/>
        <w:outlineLvl w:val="9"/>
        <w:rPr>
          <w:rFonts w:hint="eastAsia" w:ascii="宋体" w:hAnsi="宋体" w:cs="宋体"/>
          <w:b/>
          <w:bCs/>
          <w:color w:val="auto"/>
          <w:sz w:val="24"/>
          <w:highlight w:val="none"/>
        </w:rPr>
      </w:pPr>
      <w:bookmarkStart w:id="198" w:name="_Toc32537"/>
      <w:r>
        <w:rPr>
          <w:rFonts w:hint="eastAsia" w:ascii="宋体" w:hAnsi="宋体" w:cs="宋体"/>
          <w:b/>
          <w:bCs/>
          <w:color w:val="auto"/>
          <w:sz w:val="24"/>
          <w:highlight w:val="none"/>
        </w:rPr>
        <w:t>一、基本要求</w:t>
      </w:r>
      <w:bookmarkEnd w:id="198"/>
    </w:p>
    <w:p w14:paraId="77C17E8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适用于污染源监测时配置不同标气浓度验证烟气分析仪准确性，应满足《固定污染源废气 二氧化硫的测定 定电位电解法》（HJ 57-2017）附录A 一氧化碳干扰试验--动态混气矩阵试验法的相关要求。</w:t>
      </w:r>
    </w:p>
    <w:p w14:paraId="551F2D92">
      <w:pPr>
        <w:spacing w:line="480" w:lineRule="exact"/>
        <w:ind w:firstLine="482" w:firstLineChars="200"/>
        <w:outlineLvl w:val="9"/>
        <w:rPr>
          <w:rFonts w:hint="eastAsia" w:ascii="宋体" w:hAnsi="宋体" w:cs="宋体"/>
          <w:b/>
          <w:bCs/>
          <w:color w:val="auto"/>
          <w:sz w:val="24"/>
          <w:highlight w:val="none"/>
        </w:rPr>
      </w:pPr>
      <w:bookmarkStart w:id="199" w:name="_Toc12328"/>
      <w:r>
        <w:rPr>
          <w:rFonts w:hint="eastAsia" w:ascii="宋体" w:hAnsi="宋体" w:cs="宋体"/>
          <w:b/>
          <w:bCs/>
          <w:color w:val="auto"/>
          <w:sz w:val="24"/>
          <w:highlight w:val="none"/>
        </w:rPr>
        <w:t>二、技术参数</w:t>
      </w:r>
      <w:bookmarkEnd w:id="199"/>
    </w:p>
    <w:p w14:paraId="28242D0E">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2.1主机至少配置3路MFC流量控制。</w:t>
      </w:r>
    </w:p>
    <w:p w14:paraId="0EE144F6">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2.2采样质量流量动态配气法。</w:t>
      </w:r>
    </w:p>
    <w:p w14:paraId="731F40CB">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2.3配气流量（0～10）L/min。</w:t>
      </w:r>
    </w:p>
    <w:p w14:paraId="1105AB21">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2.4最大误差±1%FS。</w:t>
      </w:r>
    </w:p>
    <w:p w14:paraId="2182BC60">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▲2.5流量重复性满足±0.5%。</w:t>
      </w:r>
    </w:p>
    <w:p w14:paraId="2F8168DF">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2.6最大稀释比至少满足100倍。</w:t>
      </w:r>
    </w:p>
    <w:p w14:paraId="12A0FD1E">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2.7内置锂电池工作时长不低于6小时。</w:t>
      </w:r>
    </w:p>
    <w:p w14:paraId="451B3407">
      <w:pPr>
        <w:spacing w:line="480" w:lineRule="exact"/>
        <w:ind w:firstLine="482" w:firstLineChars="200"/>
        <w:outlineLvl w:val="9"/>
        <w:rPr>
          <w:rFonts w:hint="eastAsia" w:ascii="宋体" w:hAnsi="宋体" w:cs="宋体"/>
          <w:b/>
          <w:bCs/>
          <w:color w:val="auto"/>
          <w:sz w:val="24"/>
          <w:highlight w:val="none"/>
        </w:rPr>
      </w:pPr>
      <w:bookmarkStart w:id="200" w:name="_Toc19916"/>
      <w:r>
        <w:rPr>
          <w:rFonts w:hint="eastAsia" w:ascii="宋体" w:hAnsi="宋体" w:cs="宋体"/>
          <w:b/>
          <w:bCs/>
          <w:color w:val="auto"/>
          <w:sz w:val="24"/>
          <w:highlight w:val="none"/>
        </w:rPr>
        <w:t>三、配置要求</w:t>
      </w:r>
      <w:bookmarkEnd w:id="200"/>
    </w:p>
    <w:p w14:paraId="3FA7B90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主机1台，减压阀1个。</w:t>
      </w:r>
    </w:p>
    <w:p w14:paraId="20710147">
      <w:pPr>
        <w:spacing w:line="480" w:lineRule="exact"/>
        <w:ind w:firstLine="482" w:firstLineChars="200"/>
        <w:outlineLvl w:val="9"/>
        <w:rPr>
          <w:rFonts w:hint="eastAsia" w:ascii="宋体" w:hAnsi="宋体" w:cs="宋体"/>
          <w:b/>
          <w:bCs/>
          <w:color w:val="auto"/>
          <w:sz w:val="24"/>
          <w:highlight w:val="none"/>
        </w:rPr>
      </w:pPr>
      <w:bookmarkStart w:id="201" w:name="_Toc28248"/>
      <w:r>
        <w:rPr>
          <w:rFonts w:hint="eastAsia" w:ascii="宋体" w:hAnsi="宋体" w:cs="宋体"/>
          <w:b/>
          <w:bCs/>
          <w:color w:val="auto"/>
          <w:sz w:val="24"/>
          <w:highlight w:val="none"/>
        </w:rPr>
        <w:t>四、技术服务和培训</w:t>
      </w:r>
      <w:bookmarkEnd w:id="201"/>
    </w:p>
    <w:p w14:paraId="2A4AD730">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仪器安装、验收：中标人免费送达采购人指定地后，采购人通知后两周内进行安装调试及现场培训，直至通过验收。</w:t>
      </w:r>
    </w:p>
    <w:p w14:paraId="142E107A">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仪器质保期2年，自验收通过之日起计。验收前提供检定证书或校准证书。</w:t>
      </w:r>
    </w:p>
    <w:p w14:paraId="463AC919">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4.3技术工程师上门做操作培训，直到采购人技术人员全部掌握为止，协助用户进行仪器日常的维护，并定期回访。</w:t>
      </w:r>
    </w:p>
    <w:p w14:paraId="5841A770">
      <w:pPr>
        <w:spacing w:line="480" w:lineRule="exact"/>
        <w:ind w:firstLine="482" w:firstLineChars="200"/>
        <w:outlineLvl w:val="9"/>
        <w:rPr>
          <w:rFonts w:hint="eastAsia" w:ascii="宋体" w:hAnsi="宋体" w:cs="宋体"/>
          <w:b/>
          <w:bCs/>
          <w:color w:val="auto"/>
          <w:sz w:val="24"/>
          <w:highlight w:val="none"/>
        </w:rPr>
      </w:pPr>
      <w:bookmarkStart w:id="202" w:name="_Toc15481"/>
      <w:r>
        <w:rPr>
          <w:rFonts w:hint="eastAsia" w:ascii="宋体" w:hAnsi="宋体" w:cs="宋体"/>
          <w:b/>
          <w:bCs/>
          <w:color w:val="auto"/>
          <w:sz w:val="24"/>
          <w:highlight w:val="none"/>
        </w:rPr>
        <w:t>五、验收技术参数指标</w:t>
      </w:r>
      <w:bookmarkEnd w:id="202"/>
    </w:p>
    <w:p w14:paraId="69C147FB">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5.1流量重复性满足±0.5%，最大稀释比至少满足100倍。</w:t>
      </w:r>
    </w:p>
    <w:p w14:paraId="36F34F49">
      <w:pPr>
        <w:pStyle w:val="17"/>
        <w:spacing w:after="0" w:line="48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5.2提供符合相关标准的检定证书。</w:t>
      </w:r>
    </w:p>
    <w:p w14:paraId="4BC6E986">
      <w:pPr>
        <w:pStyle w:val="17"/>
        <w:spacing w:after="0" w:line="480" w:lineRule="exact"/>
        <w:ind w:left="0" w:leftChars="0" w:firstLine="480" w:firstLineChars="200"/>
        <w:rPr>
          <w:rFonts w:ascii="宋体" w:hAnsi="宋体" w:cs="宋体"/>
          <w:color w:val="auto"/>
          <w:sz w:val="24"/>
          <w:highlight w:val="none"/>
        </w:rPr>
      </w:pPr>
    </w:p>
    <w:p w14:paraId="0AC539AC">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ascii="宋体" w:hAnsi="宋体" w:cs="宋体"/>
          <w:color w:val="auto"/>
          <w:sz w:val="24"/>
          <w:highlight w:val="none"/>
        </w:rPr>
      </w:pPr>
      <w:bookmarkStart w:id="203" w:name="_Toc1102"/>
      <w:r>
        <w:rPr>
          <w:rFonts w:hint="eastAsia" w:ascii="宋体" w:hAnsi="宋体" w:cs="Arial"/>
          <w:b/>
          <w:bCs/>
          <w:color w:val="auto"/>
          <w:kern w:val="0"/>
          <w:sz w:val="24"/>
          <w:highlight w:val="none"/>
        </w:rPr>
        <w:t>紫外烟气分析仪</w:t>
      </w:r>
      <w:bookmarkEnd w:id="203"/>
    </w:p>
    <w:p w14:paraId="3A1AF35D">
      <w:pPr>
        <w:spacing w:line="480" w:lineRule="exact"/>
        <w:ind w:firstLine="482" w:firstLineChars="200"/>
        <w:outlineLvl w:val="9"/>
        <w:rPr>
          <w:rFonts w:hint="eastAsia" w:ascii="宋体" w:hAnsi="宋体" w:cs="宋体"/>
          <w:b/>
          <w:bCs/>
          <w:color w:val="auto"/>
          <w:sz w:val="24"/>
          <w:highlight w:val="none"/>
        </w:rPr>
      </w:pPr>
      <w:bookmarkStart w:id="204" w:name="_Toc6492"/>
      <w:r>
        <w:rPr>
          <w:rFonts w:hint="eastAsia" w:ascii="宋体" w:hAnsi="宋体" w:cs="宋体"/>
          <w:b/>
          <w:bCs/>
          <w:color w:val="auto"/>
          <w:sz w:val="24"/>
          <w:highlight w:val="none"/>
        </w:rPr>
        <w:t>一、基本要求</w:t>
      </w:r>
      <w:bookmarkEnd w:id="204"/>
    </w:p>
    <w:p w14:paraId="36F70FC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用于污染源烟气中二氧化硫、氮氧化物定量测定，二氧化硫、一氧化氮、二氧化氮、氨采用热湿法紫外差分法测定，氧气和一氧化碳采用定电位电解法测定，二氧化碳采用非分散红外法测定，满足GB/T 37186、HJ/T 397、HJ 1131、HJ 1132、HJ 1045、HJ44、HJ973标准要求。</w:t>
      </w:r>
    </w:p>
    <w:p w14:paraId="3F25FD38">
      <w:pPr>
        <w:spacing w:line="480" w:lineRule="exact"/>
        <w:ind w:firstLine="482" w:firstLineChars="200"/>
        <w:outlineLvl w:val="9"/>
        <w:rPr>
          <w:rFonts w:hint="eastAsia" w:ascii="宋体" w:hAnsi="宋体" w:cs="宋体"/>
          <w:b/>
          <w:bCs/>
          <w:color w:val="auto"/>
          <w:sz w:val="24"/>
          <w:highlight w:val="none"/>
        </w:rPr>
      </w:pPr>
      <w:bookmarkStart w:id="205" w:name="_Toc16752"/>
      <w:r>
        <w:rPr>
          <w:rFonts w:hint="eastAsia" w:ascii="宋体" w:hAnsi="宋体" w:cs="宋体"/>
          <w:b/>
          <w:bCs/>
          <w:color w:val="auto"/>
          <w:sz w:val="24"/>
          <w:highlight w:val="none"/>
        </w:rPr>
        <w:t>二、技术参数</w:t>
      </w:r>
      <w:bookmarkEnd w:id="205"/>
    </w:p>
    <w:p w14:paraId="2F702DB4">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2.1内置北斗地理定位系统,日期时间自动授时功能，可测定废气中流速、流量、含湿量（阻容法）。</w:t>
      </w:r>
    </w:p>
    <w:p w14:paraId="7D961C7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具备双量程设计，SO2、NO、NO2 可以自动切换量程。</w:t>
      </w:r>
    </w:p>
    <w:p w14:paraId="02D0004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具备气密性自动检测、自动/手动校零、采样结束后自动清洗气路等功能。</w:t>
      </w:r>
    </w:p>
    <w:p w14:paraId="00A6F92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内置冷凝水自动除水模块。</w:t>
      </w:r>
    </w:p>
    <w:p w14:paraId="20B1662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 枪管采用航空隔热填充剂或真空隔热设计。</w:t>
      </w:r>
    </w:p>
    <w:p w14:paraId="50A9936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 配置手持式操作器和蓝牙打印机，可通过手机或手持式操作器读取数据。</w:t>
      </w:r>
    </w:p>
    <w:p w14:paraId="1487981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▲2.7量程及分辨率</w:t>
      </w:r>
    </w:p>
    <w:p w14:paraId="30E1793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O2量程0～25%, 分辨率 0.1%。</w:t>
      </w:r>
    </w:p>
    <w:p w14:paraId="54F4709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SO2低量程： 0～400mg/m3，高量程：0～5000mg/m3，分辨率不高于0.1mg/m3。</w:t>
      </w:r>
    </w:p>
    <w:p w14:paraId="409179B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NO 低量程：0～200mg/m3，高量程：0～1200mg/m3，分辨率不高于0.1mg/m3。</w:t>
      </w:r>
    </w:p>
    <w:p w14:paraId="27F69E1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NO2 低量程：0～300 mg/m3，高量程0-1000 mg/m3，分辨率不高于0.1mg/m3。</w:t>
      </w:r>
    </w:p>
    <w:p w14:paraId="3B1CD9C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NH3量程：0～300mg/m3，分辨率不高于0.1mg/m3。</w:t>
      </w:r>
    </w:p>
    <w:p w14:paraId="5CDBDBA5">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CO 量程：0～5000mg/m3，分辨率不高于0.1mg/m3。</w:t>
      </w:r>
    </w:p>
    <w:p w14:paraId="79862AC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CO2量程：0～20%，分辨率不高于0.01%。</w:t>
      </w:r>
    </w:p>
    <w:p w14:paraId="2B24B67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▲2.8示值误差≤±3％（提供计量器具型式批准证书予以佐证）</w:t>
      </w:r>
    </w:p>
    <w:p w14:paraId="3A79C648">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2.9重复性≤2％（提供计量器具型式批准证书予以佐证）</w:t>
      </w:r>
    </w:p>
    <w:p w14:paraId="6CB88F12">
      <w:pPr>
        <w:spacing w:line="480" w:lineRule="exact"/>
        <w:ind w:firstLine="482" w:firstLineChars="200"/>
        <w:outlineLvl w:val="9"/>
        <w:rPr>
          <w:rFonts w:hint="eastAsia" w:ascii="宋体" w:hAnsi="宋体" w:cs="宋体"/>
          <w:b/>
          <w:bCs/>
          <w:color w:val="auto"/>
          <w:sz w:val="24"/>
          <w:highlight w:val="none"/>
        </w:rPr>
      </w:pPr>
      <w:bookmarkStart w:id="206" w:name="_Toc26202"/>
      <w:r>
        <w:rPr>
          <w:rFonts w:hint="eastAsia" w:ascii="宋体" w:hAnsi="宋体" w:cs="宋体"/>
          <w:b/>
          <w:bCs/>
          <w:color w:val="auto"/>
          <w:sz w:val="24"/>
          <w:highlight w:val="none"/>
        </w:rPr>
        <w:t>三、配置要求</w:t>
      </w:r>
      <w:bookmarkEnd w:id="206"/>
    </w:p>
    <w:p w14:paraId="7F559A59">
      <w:pPr>
        <w:tabs>
          <w:tab w:val="left" w:pos="144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紫外烟气综合分析仪1台，包括SO2（紫外）、NO（紫外）、NO2（紫外）、NH3（紫外）、CO（定电位）、O2（定电位）、CO2(红外法)；</w:t>
      </w:r>
    </w:p>
    <w:p w14:paraId="120F4F6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辅件（采样延长管、高效烟气滤芯（2个）、可调节挂架式工况模块套装（如有）、蓝牙打印机、便携式背包、防撞箱、手持式操作器）</w:t>
      </w:r>
    </w:p>
    <w:p w14:paraId="7066F59E">
      <w:pPr>
        <w:spacing w:line="480" w:lineRule="exact"/>
        <w:ind w:firstLine="482" w:firstLineChars="200"/>
        <w:outlineLvl w:val="9"/>
        <w:rPr>
          <w:rFonts w:hint="eastAsia" w:ascii="宋体" w:hAnsi="宋体" w:cs="宋体"/>
          <w:b/>
          <w:bCs/>
          <w:color w:val="auto"/>
          <w:sz w:val="24"/>
          <w:highlight w:val="none"/>
        </w:rPr>
      </w:pPr>
      <w:bookmarkStart w:id="207" w:name="_Toc31126"/>
      <w:r>
        <w:rPr>
          <w:rFonts w:hint="eastAsia" w:ascii="宋体" w:hAnsi="宋体" w:cs="宋体"/>
          <w:b/>
          <w:bCs/>
          <w:color w:val="auto"/>
          <w:sz w:val="24"/>
          <w:highlight w:val="none"/>
        </w:rPr>
        <w:t>四、技术服务和培训</w:t>
      </w:r>
      <w:bookmarkEnd w:id="207"/>
    </w:p>
    <w:p w14:paraId="38E9934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仪器安装、验收：中标人免费送达采购人指定地后，采购人通知后两周内进行安装调试及现场培训，直至通过验收。</w:t>
      </w:r>
    </w:p>
    <w:p w14:paraId="73C2EAF8">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质保期：中标人至少提供2年质保期，自验收通过之日起计，质保期内所有服务全部免费。</w:t>
      </w:r>
    </w:p>
    <w:p w14:paraId="17BD1B71">
      <w:pPr>
        <w:tabs>
          <w:tab w:val="left" w:pos="3000"/>
        </w:tabs>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4.3维修响应时间：中标人对采购人的服务要求应在2小时内响应；需要在现场进行维修的，应在2个工作日内到达仪器现场。</w:t>
      </w:r>
    </w:p>
    <w:p w14:paraId="4CD26E87">
      <w:pPr>
        <w:spacing w:line="480" w:lineRule="exact"/>
        <w:ind w:firstLine="482" w:firstLineChars="200"/>
        <w:outlineLvl w:val="9"/>
        <w:rPr>
          <w:rFonts w:hint="eastAsia" w:ascii="宋体" w:hAnsi="宋体" w:cs="宋体"/>
          <w:b/>
          <w:bCs/>
          <w:color w:val="auto"/>
          <w:sz w:val="24"/>
          <w:highlight w:val="none"/>
        </w:rPr>
      </w:pPr>
      <w:bookmarkStart w:id="208" w:name="_Toc28072"/>
      <w:r>
        <w:rPr>
          <w:rFonts w:hint="eastAsia" w:ascii="宋体" w:hAnsi="宋体" w:cs="宋体"/>
          <w:b/>
          <w:bCs/>
          <w:color w:val="auto"/>
          <w:sz w:val="24"/>
          <w:highlight w:val="none"/>
        </w:rPr>
        <w:t>五、验收技术参数指标</w:t>
      </w:r>
      <w:bookmarkEnd w:id="208"/>
    </w:p>
    <w:p w14:paraId="3FE71EE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 烟气符合招标技术参数要求。</w:t>
      </w:r>
    </w:p>
    <w:p w14:paraId="2153632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5.2提供校准或检定证书。</w:t>
      </w:r>
    </w:p>
    <w:p w14:paraId="44A04A15">
      <w:pPr>
        <w:pStyle w:val="17"/>
        <w:spacing w:after="0" w:line="480" w:lineRule="exact"/>
        <w:ind w:left="0" w:leftChars="0" w:firstLine="480" w:firstLineChars="200"/>
        <w:rPr>
          <w:rFonts w:hint="eastAsia" w:ascii="宋体" w:hAnsi="宋体" w:cs="宋体"/>
          <w:color w:val="auto"/>
          <w:sz w:val="24"/>
          <w:highlight w:val="none"/>
        </w:rPr>
      </w:pPr>
    </w:p>
    <w:p w14:paraId="36E254F8">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209" w:name="_Toc6989"/>
      <w:r>
        <w:rPr>
          <w:rFonts w:hint="eastAsia" w:ascii="宋体" w:hAnsi="宋体" w:eastAsia="宋体" w:cs="宋体"/>
          <w:color w:val="auto"/>
          <w:sz w:val="24"/>
          <w:szCs w:val="24"/>
          <w:highlight w:val="none"/>
          <w:lang w:val="en-US" w:eastAsia="zh-CN"/>
        </w:rPr>
        <w:t>生物毒性检测仪</w:t>
      </w:r>
      <w:bookmarkEnd w:id="209"/>
    </w:p>
    <w:p w14:paraId="06AC9E03">
      <w:pPr>
        <w:spacing w:line="480" w:lineRule="exact"/>
        <w:ind w:firstLine="482" w:firstLineChars="200"/>
        <w:outlineLvl w:val="9"/>
        <w:rPr>
          <w:rFonts w:hint="eastAsia" w:ascii="宋体" w:hAnsi="宋体" w:cs="宋体"/>
          <w:b/>
          <w:bCs/>
          <w:color w:val="auto"/>
          <w:sz w:val="24"/>
          <w:highlight w:val="none"/>
        </w:rPr>
      </w:pPr>
      <w:bookmarkStart w:id="210" w:name="_Toc31061"/>
      <w:r>
        <w:rPr>
          <w:rFonts w:hint="eastAsia" w:ascii="宋体" w:hAnsi="宋体" w:cs="宋体"/>
          <w:b/>
          <w:bCs/>
          <w:color w:val="auto"/>
          <w:sz w:val="24"/>
          <w:highlight w:val="none"/>
        </w:rPr>
        <w:t>一、基本要求</w:t>
      </w:r>
      <w:bookmarkEnd w:id="210"/>
    </w:p>
    <w:p w14:paraId="27369C2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通过发光细菌急性毒性原理，适用于地表水、饮用水、污水、石油石化、工业用水、食品饮料、环境应急等行业或场景中重金属、毒剂、神经毒剂、农药制剂等水质的毒性检测，符合GB/T15441-1995标准要求。</w:t>
      </w:r>
    </w:p>
    <w:p w14:paraId="75114D72">
      <w:pPr>
        <w:spacing w:line="480" w:lineRule="exact"/>
        <w:ind w:firstLine="482" w:firstLineChars="200"/>
        <w:outlineLvl w:val="9"/>
        <w:rPr>
          <w:rFonts w:hint="eastAsia" w:ascii="宋体" w:hAnsi="宋体" w:cs="宋体"/>
          <w:b/>
          <w:bCs/>
          <w:color w:val="auto"/>
          <w:sz w:val="24"/>
          <w:highlight w:val="none"/>
        </w:rPr>
      </w:pPr>
      <w:bookmarkStart w:id="211" w:name="_Toc13679"/>
      <w:r>
        <w:rPr>
          <w:rFonts w:hint="eastAsia" w:ascii="宋体" w:hAnsi="宋体" w:cs="宋体"/>
          <w:b/>
          <w:bCs/>
          <w:color w:val="auto"/>
          <w:sz w:val="24"/>
          <w:highlight w:val="none"/>
        </w:rPr>
        <w:t>二、技术参数</w:t>
      </w:r>
      <w:bookmarkEnd w:id="211"/>
    </w:p>
    <w:p w14:paraId="6059E31D">
      <w:pPr>
        <w:spacing w:line="480" w:lineRule="exact"/>
        <w:ind w:firstLine="480" w:firstLineChars="200"/>
        <w:rPr>
          <w:rFonts w:ascii="宋体" w:hAnsi="宋体" w:cs="宋体"/>
          <w:color w:val="auto"/>
          <w:sz w:val="24"/>
          <w:highlight w:val="none"/>
        </w:rPr>
      </w:pPr>
      <w:bookmarkStart w:id="212" w:name="_Toc9607"/>
      <w:r>
        <w:rPr>
          <w:rFonts w:hint="eastAsia" w:ascii="宋体" w:hAnsi="宋体" w:cs="宋体"/>
          <w:color w:val="auto"/>
          <w:sz w:val="24"/>
          <w:highlight w:val="none"/>
        </w:rPr>
        <w:t>2.1</w:t>
      </w:r>
      <w:r>
        <w:rPr>
          <w:rFonts w:ascii="宋体" w:hAnsi="宋体" w:cs="宋体"/>
          <w:color w:val="auto"/>
          <w:sz w:val="24"/>
          <w:highlight w:val="none"/>
        </w:rPr>
        <w:t xml:space="preserve"> </w:t>
      </w:r>
      <w:r>
        <w:rPr>
          <w:rFonts w:hint="eastAsia" w:ascii="宋体" w:hAnsi="宋体" w:cs="宋体"/>
          <w:color w:val="auto"/>
          <w:sz w:val="24"/>
          <w:highlight w:val="none"/>
        </w:rPr>
        <w:t>测量模式：发光细菌法、化学发光法、</w:t>
      </w:r>
      <w:r>
        <w:rPr>
          <w:rFonts w:ascii="宋体" w:hAnsi="宋体" w:cs="宋体"/>
          <w:color w:val="auto"/>
          <w:sz w:val="24"/>
          <w:highlight w:val="none"/>
        </w:rPr>
        <w:t>ATP</w:t>
      </w:r>
      <w:r>
        <w:rPr>
          <w:rFonts w:hint="eastAsia" w:ascii="宋体" w:hAnsi="宋体" w:cs="宋体"/>
          <w:color w:val="auto"/>
          <w:sz w:val="24"/>
          <w:highlight w:val="none"/>
        </w:rPr>
        <w:t>快速检测。</w:t>
      </w:r>
    </w:p>
    <w:p w14:paraId="736AC15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s="宋体"/>
          <w:color w:val="auto"/>
          <w:sz w:val="24"/>
          <w:highlight w:val="none"/>
        </w:rPr>
        <w:t>检测器：光电倍增管。</w:t>
      </w:r>
    </w:p>
    <w:p w14:paraId="6188702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3发光细菌：费氏弧菌</w:t>
      </w:r>
      <w:r>
        <w:rPr>
          <w:rFonts w:hint="eastAsia" w:ascii="宋体" w:hAnsi="宋体" w:cs="宋体"/>
          <w:color w:val="auto"/>
          <w:sz w:val="24"/>
          <w:highlight w:val="none"/>
        </w:rPr>
        <w:t>、明亮发光杆菌等。</w:t>
      </w:r>
    </w:p>
    <w:p w14:paraId="4A43C66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 xml:space="preserve"> </w:t>
      </w:r>
      <w:r>
        <w:rPr>
          <w:rFonts w:ascii="宋体" w:hAnsi="宋体" w:cs="宋体"/>
          <w:color w:val="auto"/>
          <w:sz w:val="24"/>
          <w:highlight w:val="none"/>
        </w:rPr>
        <w:t>细菌储存温度：-18℃可存储一年</w:t>
      </w:r>
      <w:r>
        <w:rPr>
          <w:rFonts w:hint="eastAsia" w:ascii="宋体" w:hAnsi="宋体" w:cs="宋体"/>
          <w:color w:val="auto"/>
          <w:sz w:val="24"/>
          <w:highlight w:val="none"/>
        </w:rPr>
        <w:t>。</w:t>
      </w:r>
    </w:p>
    <w:p w14:paraId="251F8B1B">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 xml:space="preserve"> </w:t>
      </w:r>
      <w:r>
        <w:rPr>
          <w:rFonts w:ascii="宋体" w:hAnsi="宋体" w:cs="宋体"/>
          <w:color w:val="auto"/>
          <w:sz w:val="24"/>
          <w:highlight w:val="none"/>
        </w:rPr>
        <w:t>发光范围： 0</w:t>
      </w:r>
      <w:r>
        <w:rPr>
          <w:rFonts w:hint="eastAsia" w:ascii="宋体" w:hAnsi="宋体" w:cs="宋体"/>
          <w:color w:val="auto"/>
          <w:sz w:val="24"/>
          <w:highlight w:val="none"/>
        </w:rPr>
        <w:t>~</w:t>
      </w:r>
      <w:r>
        <w:rPr>
          <w:rFonts w:ascii="宋体" w:hAnsi="宋体" w:cs="宋体"/>
          <w:color w:val="auto"/>
          <w:sz w:val="24"/>
          <w:highlight w:val="none"/>
        </w:rPr>
        <w:t>10,000,000 相对发光</w:t>
      </w:r>
      <w:r>
        <w:rPr>
          <w:rFonts w:hint="eastAsia" w:ascii="宋体" w:hAnsi="宋体" w:cs="宋体"/>
          <w:color w:val="auto"/>
          <w:sz w:val="24"/>
          <w:highlight w:val="none"/>
        </w:rPr>
        <w:t>强度（RLU）。</w:t>
      </w:r>
    </w:p>
    <w:p w14:paraId="46283FE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 xml:space="preserve"> 准确性：当氯化汞标准溶液浓度为0.10mg/L时，发光细菌的相对发光强度为50%，其误差不超过±10%。</w:t>
      </w:r>
    </w:p>
    <w:p w14:paraId="1129855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7 </w:t>
      </w:r>
      <w:r>
        <w:rPr>
          <w:rFonts w:hint="eastAsia" w:ascii="宋体" w:hAnsi="宋体" w:cs="宋体"/>
          <w:color w:val="auto"/>
          <w:sz w:val="24"/>
          <w:highlight w:val="none"/>
        </w:rPr>
        <w:t>化学发光</w:t>
      </w:r>
      <w:r>
        <w:rPr>
          <w:rFonts w:ascii="宋体" w:hAnsi="宋体" w:cs="宋体"/>
          <w:color w:val="auto"/>
          <w:sz w:val="24"/>
          <w:highlight w:val="none"/>
        </w:rPr>
        <w:t>试剂，可在常温下保存12</w:t>
      </w:r>
      <w:r>
        <w:rPr>
          <w:rFonts w:hint="eastAsia" w:ascii="宋体" w:hAnsi="宋体" w:cs="宋体"/>
          <w:color w:val="auto"/>
          <w:sz w:val="24"/>
          <w:highlight w:val="none"/>
        </w:rPr>
        <w:t>至18个月。</w:t>
      </w:r>
    </w:p>
    <w:p w14:paraId="00ED72C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8</w:t>
      </w:r>
      <w:r>
        <w:rPr>
          <w:rFonts w:hint="eastAsia" w:ascii="宋体" w:hAnsi="宋体" w:cs="宋体"/>
          <w:color w:val="auto"/>
          <w:sz w:val="24"/>
          <w:highlight w:val="none"/>
        </w:rPr>
        <w:t xml:space="preserve"> 具备采用三磷酸腺苷（ATP）设计，快速判断给水或污水的病原微生物。</w:t>
      </w:r>
    </w:p>
    <w:p w14:paraId="30595F7D">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9</w:t>
      </w:r>
      <w:r>
        <w:rPr>
          <w:rFonts w:hint="eastAsia" w:ascii="宋体" w:hAnsi="宋体" w:cs="宋体"/>
          <w:color w:val="auto"/>
          <w:sz w:val="24"/>
          <w:highlight w:val="none"/>
        </w:rPr>
        <w:t xml:space="preserve"> 显示结果：应包括相对发光强度（﹪），相对发光量单位（RLU）。</w:t>
      </w:r>
    </w:p>
    <w:p w14:paraId="629F1CC8">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2.10数据存储：≥1000次测量结果。</w:t>
      </w:r>
    </w:p>
    <w:p w14:paraId="3F71D95C">
      <w:pPr>
        <w:spacing w:line="480" w:lineRule="exact"/>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三、配置要求</w:t>
      </w:r>
      <w:bookmarkEnd w:id="212"/>
    </w:p>
    <w:p w14:paraId="0DAC6EC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3.1主机及便携箱1套；</w:t>
      </w:r>
      <w:r>
        <w:rPr>
          <w:color w:val="auto"/>
          <w:sz w:val="24"/>
          <w:highlight w:val="none"/>
        </w:rPr>
        <w:t>化学发光毒性测试试剂、发光细菌</w:t>
      </w:r>
      <w:r>
        <w:rPr>
          <w:rFonts w:hint="eastAsia"/>
          <w:color w:val="auto"/>
          <w:sz w:val="24"/>
          <w:highlight w:val="none"/>
        </w:rPr>
        <w:t>及测试</w:t>
      </w:r>
      <w:r>
        <w:rPr>
          <w:color w:val="auto"/>
          <w:sz w:val="24"/>
          <w:highlight w:val="none"/>
        </w:rPr>
        <w:t>组件、</w:t>
      </w:r>
      <w:r>
        <w:rPr>
          <w:rFonts w:hint="eastAsia"/>
          <w:color w:val="auto"/>
          <w:sz w:val="24"/>
          <w:highlight w:val="none"/>
        </w:rPr>
        <w:t>ATP测试试剂各50份</w:t>
      </w:r>
      <w:r>
        <w:rPr>
          <w:rFonts w:hint="eastAsia" w:ascii="宋体" w:hAnsi="宋体" w:cs="宋体"/>
          <w:color w:val="auto"/>
          <w:sz w:val="24"/>
          <w:highlight w:val="none"/>
        </w:rPr>
        <w:t>（分批供货）</w:t>
      </w:r>
      <w:r>
        <w:rPr>
          <w:rFonts w:hint="eastAsia"/>
          <w:color w:val="auto"/>
          <w:sz w:val="24"/>
          <w:highlight w:val="none"/>
        </w:rPr>
        <w:t>。</w:t>
      </w:r>
    </w:p>
    <w:p w14:paraId="2B216470">
      <w:pPr>
        <w:spacing w:line="480" w:lineRule="exact"/>
        <w:ind w:firstLine="482" w:firstLineChars="200"/>
        <w:outlineLvl w:val="9"/>
        <w:rPr>
          <w:rFonts w:hint="eastAsia" w:ascii="宋体" w:hAnsi="宋体" w:cs="宋体"/>
          <w:b/>
          <w:bCs/>
          <w:color w:val="auto"/>
          <w:sz w:val="24"/>
          <w:highlight w:val="none"/>
        </w:rPr>
      </w:pPr>
      <w:bookmarkStart w:id="213" w:name="_Toc26105"/>
      <w:r>
        <w:rPr>
          <w:rFonts w:hint="eastAsia" w:ascii="宋体" w:hAnsi="宋体" w:cs="宋体"/>
          <w:b/>
          <w:bCs/>
          <w:color w:val="auto"/>
          <w:sz w:val="24"/>
          <w:highlight w:val="none"/>
        </w:rPr>
        <w:t>四、技术服务和培训</w:t>
      </w:r>
      <w:bookmarkEnd w:id="213"/>
    </w:p>
    <w:p w14:paraId="3B16E85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仪器质保期2年，自验收通过之日起计。所需试剂包由供货商三年内按需分批供应。</w:t>
      </w:r>
    </w:p>
    <w:p w14:paraId="78DD232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技术工程师上门安装并做操作培训，直到采购人技术人员全部掌握为止。</w:t>
      </w:r>
    </w:p>
    <w:p w14:paraId="569A9A89">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 协助用户进行仪器日常的维护，并定期回访。</w:t>
      </w:r>
    </w:p>
    <w:p w14:paraId="04274DEB">
      <w:pPr>
        <w:spacing w:line="480" w:lineRule="exact"/>
        <w:ind w:firstLine="482" w:firstLineChars="200"/>
        <w:outlineLvl w:val="9"/>
        <w:rPr>
          <w:rFonts w:hint="eastAsia" w:ascii="宋体" w:hAnsi="宋体" w:cs="宋体"/>
          <w:b/>
          <w:bCs/>
          <w:color w:val="auto"/>
          <w:sz w:val="24"/>
          <w:highlight w:val="none"/>
        </w:rPr>
      </w:pPr>
      <w:bookmarkStart w:id="214" w:name="_Toc14495"/>
      <w:r>
        <w:rPr>
          <w:rFonts w:hint="eastAsia" w:ascii="宋体" w:hAnsi="宋体" w:cs="宋体"/>
          <w:b/>
          <w:bCs/>
          <w:color w:val="auto"/>
          <w:sz w:val="24"/>
          <w:highlight w:val="none"/>
        </w:rPr>
        <w:t>五、验收技术参数指标</w:t>
      </w:r>
      <w:bookmarkEnd w:id="214"/>
    </w:p>
    <w:p w14:paraId="72E4E32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5.1主机及便携箱1套、</w:t>
      </w:r>
      <w:r>
        <w:rPr>
          <w:color w:val="auto"/>
          <w:sz w:val="24"/>
          <w:highlight w:val="none"/>
        </w:rPr>
        <w:t>化学发光毒性测试试剂、发光细菌</w:t>
      </w:r>
      <w:r>
        <w:rPr>
          <w:rFonts w:hint="eastAsia"/>
          <w:color w:val="auto"/>
          <w:sz w:val="24"/>
          <w:highlight w:val="none"/>
        </w:rPr>
        <w:t>及测试</w:t>
      </w:r>
      <w:r>
        <w:rPr>
          <w:color w:val="auto"/>
          <w:sz w:val="24"/>
          <w:highlight w:val="none"/>
        </w:rPr>
        <w:t>组件、</w:t>
      </w:r>
      <w:r>
        <w:rPr>
          <w:rFonts w:hint="eastAsia"/>
          <w:color w:val="auto"/>
          <w:sz w:val="24"/>
          <w:highlight w:val="none"/>
        </w:rPr>
        <w:t>ATP测试试剂各50份</w:t>
      </w:r>
      <w:r>
        <w:rPr>
          <w:rFonts w:hint="eastAsia" w:ascii="宋体" w:hAnsi="宋体" w:cs="宋体"/>
          <w:color w:val="auto"/>
          <w:sz w:val="24"/>
          <w:highlight w:val="none"/>
        </w:rPr>
        <w:t>（分批供货）、</w:t>
      </w:r>
      <w:r>
        <w:rPr>
          <w:rFonts w:hint="eastAsia"/>
          <w:color w:val="auto"/>
          <w:sz w:val="24"/>
          <w:highlight w:val="none"/>
        </w:rPr>
        <w:t>25L高压灭菌锅（最大灭菌温度135℃）1个</w:t>
      </w:r>
      <w:r>
        <w:rPr>
          <w:rFonts w:hint="eastAsia" w:ascii="宋体" w:hAnsi="宋体" w:cs="宋体"/>
          <w:color w:val="auto"/>
          <w:sz w:val="24"/>
          <w:highlight w:val="none"/>
        </w:rPr>
        <w:t>。</w:t>
      </w:r>
    </w:p>
    <w:p w14:paraId="51EBEEAB">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5.2准确性符合招标参数要求。</w:t>
      </w:r>
    </w:p>
    <w:p w14:paraId="6DDC533F">
      <w:pPr>
        <w:pStyle w:val="17"/>
        <w:spacing w:after="0" w:line="480" w:lineRule="exact"/>
        <w:ind w:left="0" w:leftChars="0" w:firstLine="482" w:firstLineChars="200"/>
        <w:jc w:val="center"/>
        <w:rPr>
          <w:rFonts w:ascii="宋体" w:hAnsi="宋体" w:cs="Arial"/>
          <w:b/>
          <w:bCs/>
          <w:color w:val="auto"/>
          <w:kern w:val="0"/>
          <w:sz w:val="24"/>
          <w:highlight w:val="none"/>
        </w:rPr>
      </w:pPr>
    </w:p>
    <w:p w14:paraId="1D55F225">
      <w:pPr>
        <w:pStyle w:val="17"/>
        <w:spacing w:after="0" w:line="480" w:lineRule="exact"/>
        <w:ind w:left="0" w:leftChars="0" w:firstLine="482" w:firstLineChars="200"/>
        <w:jc w:val="center"/>
        <w:rPr>
          <w:rFonts w:ascii="宋体" w:hAnsi="宋体" w:cs="Arial"/>
          <w:b/>
          <w:bCs/>
          <w:color w:val="auto"/>
          <w:kern w:val="0"/>
          <w:sz w:val="24"/>
          <w:highlight w:val="none"/>
        </w:rPr>
      </w:pPr>
    </w:p>
    <w:p w14:paraId="32379961">
      <w:pPr>
        <w:pStyle w:val="17"/>
        <w:spacing w:after="0" w:line="480" w:lineRule="exact"/>
        <w:ind w:left="0" w:leftChars="0" w:firstLine="482" w:firstLineChars="200"/>
        <w:jc w:val="center"/>
        <w:rPr>
          <w:rFonts w:ascii="宋体" w:hAnsi="宋体" w:cs="Arial"/>
          <w:b/>
          <w:bCs/>
          <w:color w:val="auto"/>
          <w:kern w:val="0"/>
          <w:sz w:val="24"/>
          <w:highlight w:val="none"/>
        </w:rPr>
      </w:pPr>
    </w:p>
    <w:p w14:paraId="2176F54C">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215" w:name="_Toc23368"/>
      <w:r>
        <w:rPr>
          <w:rFonts w:hint="eastAsia" w:ascii="宋体" w:hAnsi="宋体" w:eastAsia="宋体" w:cs="宋体"/>
          <w:color w:val="auto"/>
          <w:sz w:val="24"/>
          <w:szCs w:val="24"/>
          <w:highlight w:val="none"/>
          <w:lang w:val="en-US" w:eastAsia="zh-CN"/>
        </w:rPr>
        <w:t>便携式X射线荧光光谱仪</w:t>
      </w:r>
      <w:bookmarkEnd w:id="215"/>
    </w:p>
    <w:p w14:paraId="26EE4C2A">
      <w:pPr>
        <w:spacing w:line="480" w:lineRule="exact"/>
        <w:ind w:firstLine="482" w:firstLineChars="200"/>
        <w:outlineLvl w:val="9"/>
        <w:rPr>
          <w:rFonts w:hint="eastAsia" w:ascii="宋体" w:hAnsi="宋体" w:cs="宋体"/>
          <w:b/>
          <w:bCs/>
          <w:color w:val="auto"/>
          <w:sz w:val="24"/>
          <w:highlight w:val="none"/>
        </w:rPr>
      </w:pPr>
      <w:bookmarkStart w:id="216" w:name="_Toc12683"/>
      <w:r>
        <w:rPr>
          <w:rFonts w:hint="eastAsia" w:ascii="宋体" w:hAnsi="宋体" w:cs="宋体"/>
          <w:b/>
          <w:bCs/>
          <w:color w:val="auto"/>
          <w:sz w:val="24"/>
          <w:highlight w:val="none"/>
        </w:rPr>
        <w:t>一、基本要求</w:t>
      </w:r>
      <w:bookmarkEnd w:id="216"/>
    </w:p>
    <w:p w14:paraId="1EECC15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具有土壤、污水、地表水的分析模块，可对土壤、污水及地表水等样品中的重金属元素进行现场快速准确分析。</w:t>
      </w:r>
    </w:p>
    <w:p w14:paraId="7BC14D5D">
      <w:pPr>
        <w:spacing w:line="480" w:lineRule="exact"/>
        <w:ind w:firstLine="482" w:firstLineChars="200"/>
        <w:outlineLvl w:val="9"/>
        <w:rPr>
          <w:rFonts w:hint="eastAsia" w:ascii="宋体" w:hAnsi="宋体" w:cs="宋体"/>
          <w:b/>
          <w:bCs/>
          <w:color w:val="auto"/>
          <w:sz w:val="24"/>
          <w:highlight w:val="none"/>
        </w:rPr>
      </w:pPr>
      <w:bookmarkStart w:id="217" w:name="_Toc22152"/>
      <w:r>
        <w:rPr>
          <w:rFonts w:hint="eastAsia" w:ascii="宋体" w:hAnsi="宋体" w:cs="宋体"/>
          <w:b/>
          <w:bCs/>
          <w:color w:val="auto"/>
          <w:sz w:val="24"/>
          <w:highlight w:val="none"/>
        </w:rPr>
        <w:t>二、技术参数</w:t>
      </w:r>
      <w:bookmarkEnd w:id="217"/>
    </w:p>
    <w:p w14:paraId="41C1DC2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2.1X光管：管电压≤70kV，功率≤50W。</w:t>
      </w:r>
    </w:p>
    <w:p w14:paraId="452879B2">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2.2内置土壤、污水和地表水等分析曲线。 </w:t>
      </w:r>
    </w:p>
    <w:p w14:paraId="3CD1893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2.3高性能MCA电子元件。</w:t>
      </w:r>
    </w:p>
    <w:p w14:paraId="4D89DDDE">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2.4进样方式：直接测定和膜富集技术测定（低浓度水样）。 </w:t>
      </w:r>
    </w:p>
    <w:p w14:paraId="3D11742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w:t>
      </w:r>
      <w:bookmarkStart w:id="218" w:name="_Hlk155973964"/>
      <w:r>
        <w:rPr>
          <w:rFonts w:hint="eastAsia" w:ascii="宋体" w:hAnsi="宋体" w:cs="宋体"/>
          <w:color w:val="auto"/>
          <w:sz w:val="24"/>
          <w:highlight w:val="none"/>
        </w:rPr>
        <w:t>具备X射线辐射安全保护功能。</w:t>
      </w:r>
    </w:p>
    <w:bookmarkEnd w:id="218"/>
    <w:p w14:paraId="61A1C239">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2.6户外强光下可清晰显示，测量操作系统可实现样品谱图分析，自动进行元素定性、定量分析。</w:t>
      </w:r>
    </w:p>
    <w:p w14:paraId="15A4FE8B">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▲2.7 土壤定性分析模块，定量分析元素检出限满足：As≤1.0 mg/kg，Cd≤0.1mg/kg，Pb≤1.0mg/kg，Cr≤10mg/kg，Tl≤1.0mg/kg，Sb≤5.0mg/kg；相对标准偏差≤15%。</w:t>
      </w:r>
    </w:p>
    <w:p w14:paraId="75C5DB4E">
      <w:pPr>
        <w:pStyle w:val="17"/>
        <w:spacing w:after="0" w:line="4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▲2.8 水样定性分析模块，定量分析元素检出限满足：Cr≤3.0μg/L，Cd≤3.0μg/L，Pb≤3.0μg/L，Cu≤3.0μg/L，Zn≤3.0μg/L，Tl≤3.0μg/L、As≤2.0μg/L；相对标准偏差≤15%。</w:t>
      </w:r>
    </w:p>
    <w:p w14:paraId="0DF0BAE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 具有内置电池设计，在无法外接电源情况下满足可连续工作至少3小时以上。</w:t>
      </w:r>
    </w:p>
    <w:p w14:paraId="673F8D8E">
      <w:pPr>
        <w:spacing w:line="480" w:lineRule="exact"/>
        <w:ind w:firstLine="482" w:firstLineChars="200"/>
        <w:outlineLvl w:val="9"/>
        <w:rPr>
          <w:rFonts w:hint="eastAsia" w:ascii="宋体" w:hAnsi="宋体" w:cs="宋体"/>
          <w:b/>
          <w:bCs/>
          <w:color w:val="auto"/>
          <w:sz w:val="24"/>
          <w:highlight w:val="none"/>
        </w:rPr>
      </w:pPr>
      <w:bookmarkStart w:id="219" w:name="_Toc23108"/>
      <w:r>
        <w:rPr>
          <w:rFonts w:hint="eastAsia" w:ascii="宋体" w:hAnsi="宋体" w:cs="宋体"/>
          <w:b/>
          <w:bCs/>
          <w:color w:val="auto"/>
          <w:sz w:val="24"/>
          <w:highlight w:val="none"/>
        </w:rPr>
        <w:t>三、主要配置</w:t>
      </w:r>
      <w:bookmarkEnd w:id="219"/>
    </w:p>
    <w:p w14:paraId="0C2665A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X射线荧光重金属分析仪主机1套；分析软件1套。</w:t>
      </w:r>
    </w:p>
    <w:p w14:paraId="381705D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3.2土壤样品前处理设备1套（土壤测试配件，样品杯40个）；水样前处理富集装置1套（含低浓度水样现场前处理膜2000张，高浓度水样杯30个）。</w:t>
      </w:r>
    </w:p>
    <w:p w14:paraId="6649110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3.3水样混合标液：5瓶（铅、镉、砷、铬、锡、铜、铁、锰、锌、镍、铝、锑、镁、硼、钡、锶、锂、镓、铋、铍、铊、钛、钒、钴等）。</w:t>
      </w:r>
    </w:p>
    <w:p w14:paraId="1C202626">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3.4土壤混合标样：5瓶（铅、镉、砷、铬、锡、铜、铁、锰、锌、镍、铝、锑、镁、硼、钡、锶、锂、镓、铋、铍、铊、钛、钒、钴等）。</w:t>
      </w:r>
    </w:p>
    <w:p w14:paraId="18642E0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数据处理系统1台（</w:t>
      </w:r>
      <w:r>
        <w:rPr>
          <w:rFonts w:hint="eastAsia" w:ascii="宋体" w:hAnsi="宋体" w:cs="宋体"/>
          <w:color w:val="auto"/>
          <w:sz w:val="24"/>
          <w:highlight w:val="none"/>
          <w:lang w:val="en-GB"/>
        </w:rPr>
        <w:t>优于13英寸触控屏，16G+512G、内置电池续航不少于8h</w:t>
      </w:r>
      <w:r>
        <w:rPr>
          <w:rFonts w:hint="eastAsia" w:ascii="宋体" w:hAnsi="宋体" w:cs="宋体"/>
          <w:color w:val="auto"/>
          <w:sz w:val="24"/>
          <w:highlight w:val="none"/>
        </w:rPr>
        <w:t>）。</w:t>
      </w:r>
    </w:p>
    <w:p w14:paraId="5646EBE1">
      <w:pPr>
        <w:spacing w:line="480" w:lineRule="exact"/>
        <w:ind w:firstLine="482" w:firstLineChars="200"/>
        <w:outlineLvl w:val="9"/>
        <w:rPr>
          <w:rFonts w:hint="eastAsia" w:ascii="宋体" w:hAnsi="宋体" w:cs="宋体"/>
          <w:b/>
          <w:bCs/>
          <w:color w:val="auto"/>
          <w:sz w:val="24"/>
          <w:highlight w:val="none"/>
        </w:rPr>
      </w:pPr>
      <w:bookmarkStart w:id="220" w:name="_Toc8160"/>
      <w:bookmarkStart w:id="221" w:name="_Hlk188355541"/>
      <w:r>
        <w:rPr>
          <w:rFonts w:hint="eastAsia" w:ascii="宋体" w:hAnsi="宋体" w:cs="宋体"/>
          <w:b/>
          <w:bCs/>
          <w:color w:val="auto"/>
          <w:sz w:val="24"/>
          <w:highlight w:val="none"/>
        </w:rPr>
        <w:t>四.其他要求</w:t>
      </w:r>
      <w:bookmarkEnd w:id="220"/>
    </w:p>
    <w:p w14:paraId="79D4040E">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4.1质保期：原厂2年，质保期内免费提供维修服务和配件更换。</w:t>
      </w:r>
    </w:p>
    <w:p w14:paraId="55AC8DD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4.2培训：提供仪器设备现场培训（包括仪器基本原理、操作使用及日常保养维护等）。</w:t>
      </w:r>
    </w:p>
    <w:bookmarkEnd w:id="221"/>
    <w:p w14:paraId="57C940CC">
      <w:pPr>
        <w:spacing w:line="480" w:lineRule="exact"/>
        <w:ind w:firstLine="482" w:firstLineChars="200"/>
        <w:outlineLvl w:val="9"/>
        <w:rPr>
          <w:rFonts w:hint="eastAsia" w:ascii="宋体" w:hAnsi="宋体" w:cs="宋体"/>
          <w:b/>
          <w:bCs/>
          <w:color w:val="auto"/>
          <w:sz w:val="24"/>
          <w:highlight w:val="none"/>
        </w:rPr>
      </w:pPr>
      <w:bookmarkStart w:id="222" w:name="_Toc8654"/>
      <w:r>
        <w:rPr>
          <w:rFonts w:hint="eastAsia" w:ascii="宋体" w:hAnsi="宋体" w:cs="宋体"/>
          <w:b/>
          <w:bCs/>
          <w:color w:val="auto"/>
          <w:sz w:val="24"/>
          <w:highlight w:val="none"/>
        </w:rPr>
        <w:t>五、验收指标</w:t>
      </w:r>
      <w:bookmarkEnd w:id="222"/>
    </w:p>
    <w:p w14:paraId="5EC7C2F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5.1主机测试低浓度的土壤、水样标准样品，其中 As、Cd、Pb、Cr至少满足相对标准偏差≤15%，Tl、Sb相对标准偏差≤30%；土壤样品检出限满足As≤1.0 mg/kg，Cd≤0.1mg/kg，Pb≤1.0mg/kg，Cr≤10mg/kg，Tl≤1.0mg/kg，Sb≤5.0mg/kg，水样品检出限满足Cr≤3.0μg/L，Cd≤3.0μg/L，Pb≤3.0μg/L，Cu≤3.0μg/L，Zn≤3.0μg/L，Tl≤3.0μg/L、As≤2.0μg/L。</w:t>
      </w:r>
    </w:p>
    <w:p w14:paraId="308ED33F">
      <w:pPr>
        <w:pStyle w:val="33"/>
        <w:spacing w:after="0" w:line="480" w:lineRule="exact"/>
        <w:ind w:left="0" w:leftChars="0" w:firstLine="480"/>
        <w:rPr>
          <w:rFonts w:hint="eastAsia" w:ascii="宋体" w:hAnsi="宋体" w:cs="宋体"/>
          <w:color w:val="auto"/>
          <w:sz w:val="24"/>
          <w:highlight w:val="none"/>
        </w:rPr>
      </w:pPr>
      <w:r>
        <w:rPr>
          <w:rFonts w:hint="eastAsia" w:ascii="宋体" w:hAnsi="宋体" w:cs="宋体"/>
          <w:color w:val="auto"/>
          <w:sz w:val="24"/>
          <w:highlight w:val="none"/>
        </w:rPr>
        <w:t>5.2水样混合标样5瓶，土壤混合标样5瓶，数据处理系统1台。</w:t>
      </w:r>
    </w:p>
    <w:p w14:paraId="20724142">
      <w:pPr>
        <w:pStyle w:val="33"/>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5A885270">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3A981606">
      <w:pPr>
        <w:rPr>
          <w:rFonts w:eastAsia="仿宋"/>
          <w:color w:val="auto"/>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223" w:name="_Toc7009"/>
      <w:r>
        <w:rPr>
          <w:rFonts w:hint="eastAsia" w:ascii="宋体" w:hAnsi="宋体" w:eastAsia="宋体" w:cs="宋体"/>
          <w:color w:val="auto"/>
          <w:sz w:val="40"/>
          <w:szCs w:val="40"/>
          <w:highlight w:val="none"/>
        </w:rPr>
        <w:t>第六章  评标办法（综合评分法）</w:t>
      </w:r>
      <w:bookmarkEnd w:id="223"/>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的参数不满足招标要求的，扣1分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第一个档次（15分）：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第二个档次（10分）：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第三个档次（5分）：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投标人每提供一份含有所投标核心产品近三年类似项目业绩证明材料的得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224" w:name="_Toc530405542"/>
      <w:bookmarkStart w:id="225" w:name="_Toc525998733"/>
    </w:p>
    <w:p w14:paraId="2356A63C">
      <w:pPr>
        <w:rPr>
          <w:b/>
          <w:color w:val="auto"/>
          <w:sz w:val="28"/>
          <w:szCs w:val="28"/>
          <w:highlight w:val="none"/>
        </w:rPr>
      </w:pPr>
      <w:r>
        <w:rPr>
          <w:rFonts w:hint="eastAsia"/>
          <w:b/>
          <w:color w:val="auto"/>
          <w:sz w:val="28"/>
          <w:szCs w:val="28"/>
          <w:highlight w:val="none"/>
        </w:rPr>
        <w:t>1、评标方法</w:t>
      </w:r>
      <w:bookmarkEnd w:id="224"/>
      <w:bookmarkEnd w:id="225"/>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226" w:name="_Toc525998734"/>
      <w:bookmarkStart w:id="227" w:name="_Toc530405543"/>
      <w:r>
        <w:rPr>
          <w:rFonts w:hint="eastAsia"/>
          <w:b/>
          <w:color w:val="auto"/>
          <w:sz w:val="28"/>
          <w:szCs w:val="28"/>
          <w:highlight w:val="none"/>
        </w:rPr>
        <w:t>2、评审标准</w:t>
      </w:r>
      <w:bookmarkEnd w:id="226"/>
      <w:bookmarkEnd w:id="227"/>
    </w:p>
    <w:p w14:paraId="553D3301">
      <w:pPr>
        <w:rPr>
          <w:rFonts w:ascii="宋体" w:hAnsi="宋体" w:cs="宋体"/>
          <w:color w:val="auto"/>
          <w:szCs w:val="28"/>
          <w:highlight w:val="none"/>
        </w:rPr>
      </w:pPr>
      <w:bookmarkStart w:id="228" w:name="_Toc530405544"/>
      <w:bookmarkStart w:id="229" w:name="_Toc525998735"/>
      <w:r>
        <w:rPr>
          <w:rFonts w:hint="eastAsia"/>
          <w:b/>
          <w:color w:val="auto"/>
          <w:sz w:val="28"/>
          <w:szCs w:val="28"/>
          <w:highlight w:val="none"/>
        </w:rPr>
        <w:t>2.1初步评审标准</w:t>
      </w:r>
      <w:bookmarkEnd w:id="228"/>
      <w:bookmarkEnd w:id="229"/>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7标段</w:t>
      </w:r>
      <w:r>
        <w:rPr>
          <w:rFonts w:hint="eastAsia" w:cs="Times New Roman"/>
          <w:b/>
          <w:bCs/>
          <w:color w:val="auto"/>
          <w:kern w:val="2"/>
          <w:sz w:val="21"/>
          <w:szCs w:val="21"/>
          <w:highlight w:val="none"/>
        </w:rPr>
        <w:t>核心产品</w:t>
      </w:r>
      <w:bookmarkStart w:id="244" w:name="_GoBack"/>
      <w:bookmarkEnd w:id="244"/>
      <w:r>
        <w:rPr>
          <w:rFonts w:hint="eastAsia" w:cs="Times New Roman"/>
          <w:b/>
          <w:bCs/>
          <w:color w:val="auto"/>
          <w:kern w:val="2"/>
          <w:sz w:val="21"/>
          <w:szCs w:val="21"/>
          <w:highlight w:val="none"/>
        </w:rPr>
        <w:t>为：便携式傅里叶红外气体分析仪</w:t>
      </w:r>
      <w:r>
        <w:rPr>
          <w:rFonts w:hint="eastAsia" w:cs="Times New Roman"/>
          <w:b/>
          <w:bCs/>
          <w:color w:val="auto"/>
          <w:kern w:val="2"/>
          <w:sz w:val="21"/>
          <w:szCs w:val="21"/>
          <w:highlight w:val="none"/>
          <w:lang w:eastAsia="zh-CN"/>
        </w:rPr>
        <w:t>、</w:t>
      </w:r>
      <w:r>
        <w:rPr>
          <w:rFonts w:hint="eastAsia" w:cs="Times New Roman"/>
          <w:b/>
          <w:bCs/>
          <w:color w:val="auto"/>
          <w:kern w:val="2"/>
          <w:sz w:val="21"/>
          <w:szCs w:val="21"/>
          <w:highlight w:val="none"/>
        </w:rPr>
        <w:t>便携式X射线荧光光谱仪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230" w:name="_Toc530405545"/>
      <w:bookmarkStart w:id="231" w:name="_Toc525998736"/>
      <w:r>
        <w:rPr>
          <w:rFonts w:hint="eastAsia"/>
          <w:b/>
          <w:color w:val="auto"/>
          <w:sz w:val="28"/>
          <w:szCs w:val="28"/>
          <w:highlight w:val="none"/>
        </w:rPr>
        <w:t>2.2分值构成与评分标准</w:t>
      </w:r>
      <w:bookmarkEnd w:id="230"/>
      <w:bookmarkEnd w:id="231"/>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232" w:name="_Toc530405546"/>
      <w:bookmarkStart w:id="233" w:name="_Toc525998737"/>
      <w:r>
        <w:rPr>
          <w:rFonts w:hint="eastAsia"/>
          <w:b/>
          <w:color w:val="auto"/>
          <w:sz w:val="28"/>
          <w:szCs w:val="28"/>
          <w:highlight w:val="none"/>
        </w:rPr>
        <w:t>3、评标程序</w:t>
      </w:r>
      <w:bookmarkEnd w:id="232"/>
      <w:bookmarkEnd w:id="233"/>
    </w:p>
    <w:p w14:paraId="4CAB0E4C">
      <w:pPr>
        <w:rPr>
          <w:b/>
          <w:color w:val="auto"/>
          <w:sz w:val="28"/>
          <w:szCs w:val="28"/>
          <w:highlight w:val="none"/>
        </w:rPr>
      </w:pPr>
      <w:bookmarkStart w:id="234" w:name="_Toc525998738"/>
      <w:bookmarkStart w:id="235" w:name="_Toc530405547"/>
      <w:r>
        <w:rPr>
          <w:rFonts w:hint="eastAsia"/>
          <w:b/>
          <w:color w:val="auto"/>
          <w:sz w:val="28"/>
          <w:szCs w:val="28"/>
          <w:highlight w:val="none"/>
        </w:rPr>
        <w:t>3.1 初步评审</w:t>
      </w:r>
      <w:bookmarkEnd w:id="234"/>
      <w:bookmarkEnd w:id="235"/>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236" w:name="_Toc530405548"/>
      <w:bookmarkStart w:id="237" w:name="_Toc525998739"/>
      <w:r>
        <w:rPr>
          <w:rFonts w:hint="eastAsia"/>
          <w:b/>
          <w:color w:val="auto"/>
          <w:sz w:val="28"/>
          <w:szCs w:val="28"/>
          <w:highlight w:val="none"/>
        </w:rPr>
        <w:t>3.2 详细评审</w:t>
      </w:r>
      <w:bookmarkEnd w:id="236"/>
      <w:bookmarkEnd w:id="237"/>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238" w:name="_Toc530405549"/>
      <w:bookmarkStart w:id="239" w:name="_Toc525998740"/>
      <w:r>
        <w:rPr>
          <w:rFonts w:hint="eastAsia"/>
          <w:b/>
          <w:color w:val="auto"/>
          <w:sz w:val="28"/>
          <w:szCs w:val="28"/>
          <w:highlight w:val="none"/>
        </w:rPr>
        <w:t>3.3 投标文件的澄清和补正统计分数原则</w:t>
      </w:r>
      <w:bookmarkEnd w:id="238"/>
      <w:bookmarkEnd w:id="239"/>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240" w:name="_Toc525998741"/>
      <w:bookmarkStart w:id="241" w:name="_Toc530405550"/>
      <w:r>
        <w:rPr>
          <w:rFonts w:hint="eastAsia"/>
          <w:b/>
          <w:color w:val="auto"/>
          <w:sz w:val="28"/>
          <w:szCs w:val="28"/>
          <w:highlight w:val="none"/>
        </w:rPr>
        <w:t>3.4 评标结果</w:t>
      </w:r>
      <w:bookmarkEnd w:id="240"/>
      <w:bookmarkEnd w:id="241"/>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242" w:name="_Toc530405551"/>
      <w:bookmarkStart w:id="243" w:name="_Toc525998742"/>
      <w:r>
        <w:rPr>
          <w:rFonts w:hint="eastAsia"/>
          <w:b/>
          <w:color w:val="auto"/>
          <w:sz w:val="28"/>
          <w:szCs w:val="28"/>
          <w:highlight w:val="none"/>
        </w:rPr>
        <w:t>3.6 特殊情况</w:t>
      </w:r>
      <w:bookmarkEnd w:id="242"/>
      <w:bookmarkEnd w:id="243"/>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5212E"/>
    <w:rsid w:val="01EC3E90"/>
    <w:rsid w:val="01EF52DD"/>
    <w:rsid w:val="02051AE6"/>
    <w:rsid w:val="021358C1"/>
    <w:rsid w:val="02154165"/>
    <w:rsid w:val="021E019D"/>
    <w:rsid w:val="02235A2E"/>
    <w:rsid w:val="024B505A"/>
    <w:rsid w:val="02551A35"/>
    <w:rsid w:val="0273010D"/>
    <w:rsid w:val="02731105"/>
    <w:rsid w:val="02851D57"/>
    <w:rsid w:val="02887032"/>
    <w:rsid w:val="029E162E"/>
    <w:rsid w:val="02A824AD"/>
    <w:rsid w:val="02AB78A7"/>
    <w:rsid w:val="02B04EBD"/>
    <w:rsid w:val="02C1531D"/>
    <w:rsid w:val="03011BBD"/>
    <w:rsid w:val="03045209"/>
    <w:rsid w:val="031511C4"/>
    <w:rsid w:val="03174F3D"/>
    <w:rsid w:val="032C404F"/>
    <w:rsid w:val="033E1B9D"/>
    <w:rsid w:val="034117AD"/>
    <w:rsid w:val="034C1B99"/>
    <w:rsid w:val="034F0B7A"/>
    <w:rsid w:val="03501C37"/>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66617C"/>
    <w:rsid w:val="046930FC"/>
    <w:rsid w:val="04846602"/>
    <w:rsid w:val="0491083B"/>
    <w:rsid w:val="04912689"/>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E37C8"/>
    <w:rsid w:val="08400A92"/>
    <w:rsid w:val="08444A26"/>
    <w:rsid w:val="0853529F"/>
    <w:rsid w:val="086329D2"/>
    <w:rsid w:val="087D7F38"/>
    <w:rsid w:val="088D524F"/>
    <w:rsid w:val="089833BF"/>
    <w:rsid w:val="089F4205"/>
    <w:rsid w:val="08A20DBC"/>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A1017"/>
    <w:rsid w:val="0A1B5312"/>
    <w:rsid w:val="0A231514"/>
    <w:rsid w:val="0A341FAC"/>
    <w:rsid w:val="0A456E91"/>
    <w:rsid w:val="0A4A3E4A"/>
    <w:rsid w:val="0A59189E"/>
    <w:rsid w:val="0A5B1BB3"/>
    <w:rsid w:val="0A60366D"/>
    <w:rsid w:val="0A6E7FFF"/>
    <w:rsid w:val="0A73514E"/>
    <w:rsid w:val="0A7D0C86"/>
    <w:rsid w:val="0A7F7F97"/>
    <w:rsid w:val="0A830C5B"/>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D10852"/>
    <w:rsid w:val="0CDE6ACB"/>
    <w:rsid w:val="0CE149E6"/>
    <w:rsid w:val="0CE52E0B"/>
    <w:rsid w:val="0D03567D"/>
    <w:rsid w:val="0D110C4F"/>
    <w:rsid w:val="0D2C3980"/>
    <w:rsid w:val="0D3037CB"/>
    <w:rsid w:val="0D3A63F7"/>
    <w:rsid w:val="0D4153A9"/>
    <w:rsid w:val="0D447276"/>
    <w:rsid w:val="0D471D28"/>
    <w:rsid w:val="0D550D50"/>
    <w:rsid w:val="0D553580"/>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33648"/>
    <w:rsid w:val="0E3A5F83"/>
    <w:rsid w:val="0E3F7CFE"/>
    <w:rsid w:val="0E4D2AA9"/>
    <w:rsid w:val="0E527771"/>
    <w:rsid w:val="0E5C414B"/>
    <w:rsid w:val="0E664FCA"/>
    <w:rsid w:val="0E6B25E0"/>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C1473A"/>
    <w:rsid w:val="10CA7A92"/>
    <w:rsid w:val="10DA1A3D"/>
    <w:rsid w:val="10E01064"/>
    <w:rsid w:val="10EB3666"/>
    <w:rsid w:val="10EC55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A0061"/>
    <w:rsid w:val="14E03E00"/>
    <w:rsid w:val="14E34E43"/>
    <w:rsid w:val="14E60C13"/>
    <w:rsid w:val="14EA425F"/>
    <w:rsid w:val="14F0383F"/>
    <w:rsid w:val="1505553D"/>
    <w:rsid w:val="151237B6"/>
    <w:rsid w:val="15192D96"/>
    <w:rsid w:val="15241BA7"/>
    <w:rsid w:val="152F6116"/>
    <w:rsid w:val="15316332"/>
    <w:rsid w:val="15393438"/>
    <w:rsid w:val="153B6599"/>
    <w:rsid w:val="153E45AB"/>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202E2C"/>
    <w:rsid w:val="16225B07"/>
    <w:rsid w:val="16360483"/>
    <w:rsid w:val="164976A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377504"/>
    <w:rsid w:val="173F382C"/>
    <w:rsid w:val="177E5849"/>
    <w:rsid w:val="1780534F"/>
    <w:rsid w:val="1783099B"/>
    <w:rsid w:val="178650AF"/>
    <w:rsid w:val="178E4F82"/>
    <w:rsid w:val="17C94CB6"/>
    <w:rsid w:val="17CC0543"/>
    <w:rsid w:val="17D60B0B"/>
    <w:rsid w:val="18153CE9"/>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9081A"/>
    <w:rsid w:val="1F5F3A9B"/>
    <w:rsid w:val="1F6410B2"/>
    <w:rsid w:val="1F664788"/>
    <w:rsid w:val="1F6F0B2B"/>
    <w:rsid w:val="1F73605B"/>
    <w:rsid w:val="1F925C1F"/>
    <w:rsid w:val="1FB060A5"/>
    <w:rsid w:val="1FB42BFA"/>
    <w:rsid w:val="1FBA3A1C"/>
    <w:rsid w:val="1FC35DD8"/>
    <w:rsid w:val="1FC63B1B"/>
    <w:rsid w:val="1FCE6C7F"/>
    <w:rsid w:val="1FD91AA0"/>
    <w:rsid w:val="1FE30229"/>
    <w:rsid w:val="1FE401B3"/>
    <w:rsid w:val="1FF7A9FF"/>
    <w:rsid w:val="201F345A"/>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493224"/>
    <w:rsid w:val="256A7C38"/>
    <w:rsid w:val="25731640"/>
    <w:rsid w:val="25760CDC"/>
    <w:rsid w:val="2582681B"/>
    <w:rsid w:val="25911D97"/>
    <w:rsid w:val="259C54CD"/>
    <w:rsid w:val="259C77F7"/>
    <w:rsid w:val="25B47EBF"/>
    <w:rsid w:val="25C842A7"/>
    <w:rsid w:val="25CC380E"/>
    <w:rsid w:val="25D44F4B"/>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77272"/>
    <w:rsid w:val="276B0362"/>
    <w:rsid w:val="278B7B24"/>
    <w:rsid w:val="279B3ADF"/>
    <w:rsid w:val="27A24E6D"/>
    <w:rsid w:val="27B0FCB0"/>
    <w:rsid w:val="27C01B98"/>
    <w:rsid w:val="27D56233"/>
    <w:rsid w:val="27E40FE2"/>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D24728"/>
    <w:rsid w:val="2DDC3292"/>
    <w:rsid w:val="2DDF2977"/>
    <w:rsid w:val="2DE0049D"/>
    <w:rsid w:val="2DEE2BBA"/>
    <w:rsid w:val="2DF67CC1"/>
    <w:rsid w:val="2E1819E5"/>
    <w:rsid w:val="2E2465DC"/>
    <w:rsid w:val="2E424CB4"/>
    <w:rsid w:val="2E4541BA"/>
    <w:rsid w:val="2E474A29"/>
    <w:rsid w:val="2E4959F2"/>
    <w:rsid w:val="2E4A5917"/>
    <w:rsid w:val="2E580034"/>
    <w:rsid w:val="2E715B2F"/>
    <w:rsid w:val="2E7A101C"/>
    <w:rsid w:val="2E8928E3"/>
    <w:rsid w:val="2E8E614B"/>
    <w:rsid w:val="2E943223"/>
    <w:rsid w:val="2E976DAE"/>
    <w:rsid w:val="2EB11B64"/>
    <w:rsid w:val="2EB436CF"/>
    <w:rsid w:val="2EB53854"/>
    <w:rsid w:val="2EB57234"/>
    <w:rsid w:val="2EC35DF5"/>
    <w:rsid w:val="2EC664C6"/>
    <w:rsid w:val="2EC8340B"/>
    <w:rsid w:val="2ED26038"/>
    <w:rsid w:val="2ED41331"/>
    <w:rsid w:val="2EE40E7F"/>
    <w:rsid w:val="2EEFD5FB"/>
    <w:rsid w:val="2EF064BE"/>
    <w:rsid w:val="2F05640D"/>
    <w:rsid w:val="2F070BB8"/>
    <w:rsid w:val="2F196618"/>
    <w:rsid w:val="2F1D0279"/>
    <w:rsid w:val="2F206A1F"/>
    <w:rsid w:val="2F243559"/>
    <w:rsid w:val="2F286DD9"/>
    <w:rsid w:val="2F307202"/>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20A05B3"/>
    <w:rsid w:val="320C2383"/>
    <w:rsid w:val="320D154F"/>
    <w:rsid w:val="321B2C8F"/>
    <w:rsid w:val="321F3964"/>
    <w:rsid w:val="32252170"/>
    <w:rsid w:val="323819ED"/>
    <w:rsid w:val="32496D87"/>
    <w:rsid w:val="32673C7A"/>
    <w:rsid w:val="32676A97"/>
    <w:rsid w:val="32747406"/>
    <w:rsid w:val="328A09D8"/>
    <w:rsid w:val="32902492"/>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40777B6"/>
    <w:rsid w:val="340D366E"/>
    <w:rsid w:val="340D7B12"/>
    <w:rsid w:val="34143421"/>
    <w:rsid w:val="34164C19"/>
    <w:rsid w:val="34183C0D"/>
    <w:rsid w:val="3422536C"/>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54965"/>
    <w:rsid w:val="35216C94"/>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621689F"/>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D83F93"/>
    <w:rsid w:val="37DE5DD2"/>
    <w:rsid w:val="37F40AB9"/>
    <w:rsid w:val="37F6C505"/>
    <w:rsid w:val="38060B00"/>
    <w:rsid w:val="38190C70"/>
    <w:rsid w:val="384004B6"/>
    <w:rsid w:val="385C4BC4"/>
    <w:rsid w:val="3862187C"/>
    <w:rsid w:val="386677F1"/>
    <w:rsid w:val="38776B7B"/>
    <w:rsid w:val="387B5166"/>
    <w:rsid w:val="3882287D"/>
    <w:rsid w:val="38910D12"/>
    <w:rsid w:val="38A04AB1"/>
    <w:rsid w:val="38AB70D2"/>
    <w:rsid w:val="38B62526"/>
    <w:rsid w:val="38C2659D"/>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B6680E"/>
    <w:rsid w:val="3AC52989"/>
    <w:rsid w:val="3AC536C4"/>
    <w:rsid w:val="3ADE35F9"/>
    <w:rsid w:val="3AE315CD"/>
    <w:rsid w:val="3AE76371"/>
    <w:rsid w:val="3AED7D5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5476F"/>
    <w:rsid w:val="3C2E089C"/>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A148F"/>
    <w:rsid w:val="3D5126FE"/>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034B6B"/>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66161"/>
    <w:rsid w:val="413B5CBF"/>
    <w:rsid w:val="41520244"/>
    <w:rsid w:val="4157260C"/>
    <w:rsid w:val="418D0967"/>
    <w:rsid w:val="4194717D"/>
    <w:rsid w:val="419A45DB"/>
    <w:rsid w:val="41A53056"/>
    <w:rsid w:val="41B8730F"/>
    <w:rsid w:val="41C946BB"/>
    <w:rsid w:val="41E53E7C"/>
    <w:rsid w:val="41EF390B"/>
    <w:rsid w:val="41EF3ED6"/>
    <w:rsid w:val="41F8513D"/>
    <w:rsid w:val="42094AAD"/>
    <w:rsid w:val="42170FF2"/>
    <w:rsid w:val="4219198C"/>
    <w:rsid w:val="42240501"/>
    <w:rsid w:val="42264D31"/>
    <w:rsid w:val="42334BE8"/>
    <w:rsid w:val="42366486"/>
    <w:rsid w:val="42483274"/>
    <w:rsid w:val="42497F67"/>
    <w:rsid w:val="42521512"/>
    <w:rsid w:val="425410BD"/>
    <w:rsid w:val="425F30BA"/>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4A4722"/>
    <w:rsid w:val="454B6546"/>
    <w:rsid w:val="45521FA0"/>
    <w:rsid w:val="455A06DD"/>
    <w:rsid w:val="455E344B"/>
    <w:rsid w:val="45633A36"/>
    <w:rsid w:val="45895079"/>
    <w:rsid w:val="458A1EA0"/>
    <w:rsid w:val="458F17FE"/>
    <w:rsid w:val="459B4F7E"/>
    <w:rsid w:val="45C049E4"/>
    <w:rsid w:val="45C64D7A"/>
    <w:rsid w:val="45C85647"/>
    <w:rsid w:val="45D31DDE"/>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536D1"/>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062191"/>
    <w:rsid w:val="481E1E96"/>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E55BB5"/>
    <w:rsid w:val="49E62540"/>
    <w:rsid w:val="49E8275C"/>
    <w:rsid w:val="49F79798"/>
    <w:rsid w:val="49F8205B"/>
    <w:rsid w:val="49FE1C28"/>
    <w:rsid w:val="4A142EB3"/>
    <w:rsid w:val="4A1452FF"/>
    <w:rsid w:val="4A216F28"/>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20BFE"/>
    <w:rsid w:val="4AB276D4"/>
    <w:rsid w:val="4AC62A9D"/>
    <w:rsid w:val="4AD70271"/>
    <w:rsid w:val="4AE5660E"/>
    <w:rsid w:val="4AEB2504"/>
    <w:rsid w:val="4AEB35C7"/>
    <w:rsid w:val="4B11183E"/>
    <w:rsid w:val="4B117A90"/>
    <w:rsid w:val="4B1A46A7"/>
    <w:rsid w:val="4B1E5AAA"/>
    <w:rsid w:val="4B201A81"/>
    <w:rsid w:val="4B321EE0"/>
    <w:rsid w:val="4B5B0A99"/>
    <w:rsid w:val="4B6613BB"/>
    <w:rsid w:val="4B7E79FF"/>
    <w:rsid w:val="4B7F49FA"/>
    <w:rsid w:val="4BB87F0C"/>
    <w:rsid w:val="4BC615CD"/>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E6D7A"/>
    <w:rsid w:val="4D5A571F"/>
    <w:rsid w:val="4D5B0EA9"/>
    <w:rsid w:val="4D65600A"/>
    <w:rsid w:val="4D875DE8"/>
    <w:rsid w:val="4DA14FD6"/>
    <w:rsid w:val="4DAA3A77"/>
    <w:rsid w:val="4DAE5A6A"/>
    <w:rsid w:val="4DD94895"/>
    <w:rsid w:val="4DDE60C6"/>
    <w:rsid w:val="4DE82D2A"/>
    <w:rsid w:val="4DEB281B"/>
    <w:rsid w:val="4DFB65D6"/>
    <w:rsid w:val="4E0062C6"/>
    <w:rsid w:val="4E0D09E3"/>
    <w:rsid w:val="4E2875CB"/>
    <w:rsid w:val="4E2A2792"/>
    <w:rsid w:val="4E3C4E24"/>
    <w:rsid w:val="4E51210A"/>
    <w:rsid w:val="4E6C395B"/>
    <w:rsid w:val="4E6C58CE"/>
    <w:rsid w:val="4E775315"/>
    <w:rsid w:val="4E7B3B9E"/>
    <w:rsid w:val="4E872543"/>
    <w:rsid w:val="4E872A00"/>
    <w:rsid w:val="4E8F764A"/>
    <w:rsid w:val="4E952D74"/>
    <w:rsid w:val="4EB46EE3"/>
    <w:rsid w:val="4EB47AF7"/>
    <w:rsid w:val="4ED46303"/>
    <w:rsid w:val="4EE9759A"/>
    <w:rsid w:val="4EF120B3"/>
    <w:rsid w:val="4EF15C0F"/>
    <w:rsid w:val="4EFD0A57"/>
    <w:rsid w:val="4F150C30"/>
    <w:rsid w:val="4F177185"/>
    <w:rsid w:val="4F1837F1"/>
    <w:rsid w:val="4F1D6A04"/>
    <w:rsid w:val="4F3124AF"/>
    <w:rsid w:val="4F4628B7"/>
    <w:rsid w:val="4F47222B"/>
    <w:rsid w:val="4F477F24"/>
    <w:rsid w:val="4F552641"/>
    <w:rsid w:val="4F5902F9"/>
    <w:rsid w:val="4F5B577E"/>
    <w:rsid w:val="4F5F0DCA"/>
    <w:rsid w:val="4F627F08"/>
    <w:rsid w:val="4F6904FD"/>
    <w:rsid w:val="4F6E3F54"/>
    <w:rsid w:val="4F7D56F4"/>
    <w:rsid w:val="4F810D59"/>
    <w:rsid w:val="4F880F19"/>
    <w:rsid w:val="4FA7680B"/>
    <w:rsid w:val="4FE70DC0"/>
    <w:rsid w:val="4FEA144E"/>
    <w:rsid w:val="4FEE0272"/>
    <w:rsid w:val="4FF90B37"/>
    <w:rsid w:val="50066209"/>
    <w:rsid w:val="50373AF5"/>
    <w:rsid w:val="50504BB7"/>
    <w:rsid w:val="505446A7"/>
    <w:rsid w:val="50591CBD"/>
    <w:rsid w:val="50687CFD"/>
    <w:rsid w:val="5075461D"/>
    <w:rsid w:val="50877DE9"/>
    <w:rsid w:val="508C57A9"/>
    <w:rsid w:val="509527C9"/>
    <w:rsid w:val="50963798"/>
    <w:rsid w:val="509E3B74"/>
    <w:rsid w:val="50A932A5"/>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C30C7"/>
    <w:rsid w:val="52524633"/>
    <w:rsid w:val="52582856"/>
    <w:rsid w:val="526002B0"/>
    <w:rsid w:val="52927709"/>
    <w:rsid w:val="52972A2E"/>
    <w:rsid w:val="52A10CD2"/>
    <w:rsid w:val="52AA2CA4"/>
    <w:rsid w:val="52B00B89"/>
    <w:rsid w:val="52B44881"/>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786C15"/>
    <w:rsid w:val="568022D3"/>
    <w:rsid w:val="569F1F43"/>
    <w:rsid w:val="56AD4B11"/>
    <w:rsid w:val="56B73D78"/>
    <w:rsid w:val="56B7773E"/>
    <w:rsid w:val="56C37E91"/>
    <w:rsid w:val="56C8194B"/>
    <w:rsid w:val="56D14B3F"/>
    <w:rsid w:val="56E12A0D"/>
    <w:rsid w:val="56E14D36"/>
    <w:rsid w:val="56E83D9B"/>
    <w:rsid w:val="56ED7603"/>
    <w:rsid w:val="56F95FA8"/>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86F73"/>
    <w:rsid w:val="57B51761"/>
    <w:rsid w:val="57BD3B8D"/>
    <w:rsid w:val="57BE03C2"/>
    <w:rsid w:val="57C87729"/>
    <w:rsid w:val="57D71FAD"/>
    <w:rsid w:val="57EC3417"/>
    <w:rsid w:val="58044C05"/>
    <w:rsid w:val="581B1F4E"/>
    <w:rsid w:val="58246A62"/>
    <w:rsid w:val="5826089F"/>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D04AE7"/>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B20ACC"/>
    <w:rsid w:val="5EC121CF"/>
    <w:rsid w:val="5EC7698C"/>
    <w:rsid w:val="5ECD7727"/>
    <w:rsid w:val="5ED104CB"/>
    <w:rsid w:val="5EE02DCE"/>
    <w:rsid w:val="5EE160E1"/>
    <w:rsid w:val="5EFA7CCD"/>
    <w:rsid w:val="5F105C3D"/>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117BF7"/>
    <w:rsid w:val="60123C37"/>
    <w:rsid w:val="60145C01"/>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C21944"/>
    <w:rsid w:val="62C27B96"/>
    <w:rsid w:val="62D666CD"/>
    <w:rsid w:val="62DA4EE0"/>
    <w:rsid w:val="62E775FD"/>
    <w:rsid w:val="62F01FB7"/>
    <w:rsid w:val="62F15D85"/>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F662A"/>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64B10"/>
    <w:rsid w:val="69070D9B"/>
    <w:rsid w:val="693712A3"/>
    <w:rsid w:val="6965127B"/>
    <w:rsid w:val="6975313E"/>
    <w:rsid w:val="697B284D"/>
    <w:rsid w:val="697F058F"/>
    <w:rsid w:val="69880A1E"/>
    <w:rsid w:val="698C4A5A"/>
    <w:rsid w:val="69985C0E"/>
    <w:rsid w:val="69A54EFF"/>
    <w:rsid w:val="69A73642"/>
    <w:rsid w:val="69B22F8D"/>
    <w:rsid w:val="69BF30D1"/>
    <w:rsid w:val="69CC12FA"/>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9516EC"/>
    <w:rsid w:val="6AA964C8"/>
    <w:rsid w:val="6ABA1153"/>
    <w:rsid w:val="6ACE1274"/>
    <w:rsid w:val="6ACF2BCB"/>
    <w:rsid w:val="6AE465A9"/>
    <w:rsid w:val="6AE7478D"/>
    <w:rsid w:val="6AF91C7B"/>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EA5A68"/>
    <w:rsid w:val="6BED02B0"/>
    <w:rsid w:val="6BF46439"/>
    <w:rsid w:val="6BF54284"/>
    <w:rsid w:val="6BF6265F"/>
    <w:rsid w:val="6BFD1C3F"/>
    <w:rsid w:val="6C07486C"/>
    <w:rsid w:val="6C2179D9"/>
    <w:rsid w:val="6C494D21"/>
    <w:rsid w:val="6C6A4059"/>
    <w:rsid w:val="6C726189"/>
    <w:rsid w:val="6C891725"/>
    <w:rsid w:val="6C953C26"/>
    <w:rsid w:val="6C9A748E"/>
    <w:rsid w:val="6CB30550"/>
    <w:rsid w:val="6CB83ED7"/>
    <w:rsid w:val="6CBF0CA2"/>
    <w:rsid w:val="6CC938CF"/>
    <w:rsid w:val="6CCB2AC6"/>
    <w:rsid w:val="6CCB3AEB"/>
    <w:rsid w:val="6CD91C43"/>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E6F19"/>
    <w:rsid w:val="6D77157D"/>
    <w:rsid w:val="6D7D4DE5"/>
    <w:rsid w:val="6D7E290C"/>
    <w:rsid w:val="6D825A23"/>
    <w:rsid w:val="6D8F2D6B"/>
    <w:rsid w:val="6D9D7236"/>
    <w:rsid w:val="6DAA3E25"/>
    <w:rsid w:val="6DAC4F6A"/>
    <w:rsid w:val="6DC42A14"/>
    <w:rsid w:val="6DC81DD9"/>
    <w:rsid w:val="6DD62748"/>
    <w:rsid w:val="6DD8026E"/>
    <w:rsid w:val="6DD8201C"/>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1514FB"/>
    <w:rsid w:val="701557A9"/>
    <w:rsid w:val="70187F49"/>
    <w:rsid w:val="70273BAE"/>
    <w:rsid w:val="702E0619"/>
    <w:rsid w:val="704936A5"/>
    <w:rsid w:val="704B6BFB"/>
    <w:rsid w:val="70526B41"/>
    <w:rsid w:val="705A19A9"/>
    <w:rsid w:val="706C1141"/>
    <w:rsid w:val="70827064"/>
    <w:rsid w:val="70921721"/>
    <w:rsid w:val="70975D92"/>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C4779E"/>
    <w:rsid w:val="74CA4688"/>
    <w:rsid w:val="74EE0377"/>
    <w:rsid w:val="74EF90E4"/>
    <w:rsid w:val="74F02341"/>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478F8"/>
    <w:rsid w:val="79C54D55"/>
    <w:rsid w:val="79C7398C"/>
    <w:rsid w:val="79CC738B"/>
    <w:rsid w:val="79D55FA9"/>
    <w:rsid w:val="79DA35C0"/>
    <w:rsid w:val="79F503F9"/>
    <w:rsid w:val="79F9484F"/>
    <w:rsid w:val="79FFC74C"/>
    <w:rsid w:val="7A0D129F"/>
    <w:rsid w:val="7A10413A"/>
    <w:rsid w:val="7A28639F"/>
    <w:rsid w:val="7A2F0069"/>
    <w:rsid w:val="7A39665C"/>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112820"/>
    <w:rsid w:val="7C176405"/>
    <w:rsid w:val="7C1D2C2F"/>
    <w:rsid w:val="7C1F350C"/>
    <w:rsid w:val="7C246D74"/>
    <w:rsid w:val="7C26489A"/>
    <w:rsid w:val="7C264EB4"/>
    <w:rsid w:val="7C283DBB"/>
    <w:rsid w:val="7C3D1633"/>
    <w:rsid w:val="7C42560F"/>
    <w:rsid w:val="7C437DA8"/>
    <w:rsid w:val="7C4C370C"/>
    <w:rsid w:val="7C683105"/>
    <w:rsid w:val="7C99506C"/>
    <w:rsid w:val="7CA3E458"/>
    <w:rsid w:val="7CBA4FE2"/>
    <w:rsid w:val="7CC145C3"/>
    <w:rsid w:val="7CDB7267"/>
    <w:rsid w:val="7CF76237"/>
    <w:rsid w:val="7D20753B"/>
    <w:rsid w:val="7D243089"/>
    <w:rsid w:val="7D3179E1"/>
    <w:rsid w:val="7D3EB3A4"/>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1340</Words>
  <Characters>1583</Characters>
  <Lines>348</Lines>
  <Paragraphs>98</Paragraphs>
  <TotalTime>6</TotalTime>
  <ScaleCrop>false</ScaleCrop>
  <LinksUpToDate>false</LinksUpToDate>
  <CharactersWithSpaces>1744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2025-02-22T08:53:28Z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